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248" w:beforeLines="400"/>
        <w:jc w:val="center"/>
        <w:rPr>
          <w:rFonts w:hint="eastAsia" w:ascii="黑体" w:hAnsi="黑体" w:eastAsia="黑体"/>
          <w:sz w:val="60"/>
          <w:szCs w:val="60"/>
        </w:rPr>
      </w:pPr>
      <w:r>
        <w:rPr>
          <w:rFonts w:hint="eastAsia" w:ascii="黑体" w:hAnsi="黑体" w:eastAsia="黑体"/>
          <w:sz w:val="60"/>
          <w:szCs w:val="60"/>
        </w:rPr>
        <w:t>长治市中心城区商业网点布局专项规划(2021-2035)</w:t>
      </w:r>
    </w:p>
    <w:p>
      <w:pPr>
        <w:spacing w:line="480" w:lineRule="auto"/>
        <w:jc w:val="center"/>
        <w:rPr>
          <w:rFonts w:ascii="Times New Roman" w:hAnsi="Times New Roman" w:eastAsia="黑体"/>
          <w:sz w:val="52"/>
          <w:szCs w:val="24"/>
        </w:rPr>
      </w:pPr>
    </w:p>
    <w:p>
      <w:pPr>
        <w:spacing w:before="240" w:line="560" w:lineRule="exact"/>
        <w:jc w:val="center"/>
        <w:rPr>
          <w:rFonts w:ascii="Times New Roman" w:hAnsi="Times New Roman" w:eastAsia="黑体"/>
          <w:sz w:val="48"/>
          <w:szCs w:val="48"/>
        </w:rPr>
      </w:pPr>
    </w:p>
    <w:p>
      <w:pPr>
        <w:spacing w:before="240" w:line="560" w:lineRule="exact"/>
        <w:jc w:val="center"/>
        <w:rPr>
          <w:rFonts w:ascii="Times New Roman" w:hAnsi="Times New Roman" w:eastAsia="黑体"/>
          <w:sz w:val="44"/>
          <w:szCs w:val="44"/>
        </w:rPr>
      </w:pPr>
      <w:bookmarkStart w:id="0" w:name="_Hlk183683749"/>
      <w:r>
        <w:rPr>
          <w:rFonts w:hint="eastAsia" w:ascii="Times New Roman" w:hAnsi="Times New Roman" w:eastAsia="黑体"/>
          <w:sz w:val="44"/>
          <w:szCs w:val="44"/>
        </w:rPr>
        <w:t>征求意见稿</w:t>
      </w:r>
    </w:p>
    <w:bookmarkEnd w:id="0"/>
    <w:p>
      <w:pPr>
        <w:spacing w:line="560" w:lineRule="exact"/>
        <w:jc w:val="center"/>
        <w:rPr>
          <w:rFonts w:ascii="Times New Roman" w:hAnsi="Times New Roman" w:eastAsia="黑体"/>
          <w:sz w:val="44"/>
          <w:szCs w:val="44"/>
        </w:rPr>
      </w:pPr>
    </w:p>
    <w:p>
      <w:pPr>
        <w:spacing w:line="560" w:lineRule="exact"/>
        <w:jc w:val="center"/>
        <w:rPr>
          <w:rFonts w:ascii="Times New Roman" w:hAnsi="Times New Roman" w:eastAsia="黑体"/>
          <w:sz w:val="48"/>
          <w:szCs w:val="24"/>
        </w:rPr>
      </w:pPr>
    </w:p>
    <w:p>
      <w:pPr>
        <w:spacing w:line="560" w:lineRule="exact"/>
        <w:jc w:val="center"/>
        <w:rPr>
          <w:rFonts w:ascii="Times New Roman" w:hAnsi="Times New Roman" w:eastAsia="黑体"/>
          <w:sz w:val="48"/>
          <w:szCs w:val="24"/>
        </w:rPr>
      </w:pPr>
    </w:p>
    <w:p>
      <w:pPr>
        <w:spacing w:line="560" w:lineRule="exact"/>
        <w:jc w:val="center"/>
        <w:rPr>
          <w:rFonts w:ascii="Times New Roman" w:hAnsi="Times New Roman" w:eastAsia="黑体"/>
          <w:sz w:val="48"/>
          <w:szCs w:val="24"/>
        </w:rPr>
      </w:pPr>
    </w:p>
    <w:p>
      <w:pPr>
        <w:spacing w:line="560" w:lineRule="exact"/>
        <w:jc w:val="center"/>
        <w:rPr>
          <w:rFonts w:ascii="Times New Roman" w:hAnsi="Times New Roman" w:eastAsia="黑体"/>
          <w:sz w:val="48"/>
          <w:szCs w:val="24"/>
        </w:rPr>
      </w:pPr>
    </w:p>
    <w:p>
      <w:pPr>
        <w:spacing w:line="560" w:lineRule="exact"/>
        <w:jc w:val="center"/>
        <w:rPr>
          <w:rFonts w:ascii="Times New Roman" w:hAnsi="Times New Roman" w:eastAsia="黑体"/>
          <w:sz w:val="48"/>
          <w:szCs w:val="24"/>
        </w:rPr>
      </w:pPr>
    </w:p>
    <w:p>
      <w:pPr>
        <w:spacing w:line="560" w:lineRule="exact"/>
        <w:jc w:val="center"/>
        <w:rPr>
          <w:rFonts w:ascii="Times New Roman" w:hAnsi="Times New Roman" w:eastAsia="黑体"/>
          <w:sz w:val="48"/>
          <w:szCs w:val="24"/>
        </w:rPr>
      </w:pPr>
    </w:p>
    <w:p>
      <w:pPr>
        <w:spacing w:line="560" w:lineRule="exact"/>
        <w:jc w:val="center"/>
        <w:rPr>
          <w:rFonts w:ascii="Times New Roman" w:hAnsi="Times New Roman" w:eastAsia="黑体"/>
          <w:sz w:val="48"/>
          <w:szCs w:val="24"/>
        </w:rPr>
      </w:pPr>
    </w:p>
    <w:p>
      <w:pPr>
        <w:spacing w:line="560" w:lineRule="exact"/>
        <w:jc w:val="center"/>
        <w:rPr>
          <w:rFonts w:ascii="Times New Roman" w:hAnsi="Times New Roman" w:eastAsia="黑体"/>
          <w:sz w:val="48"/>
          <w:szCs w:val="24"/>
        </w:rPr>
      </w:pPr>
    </w:p>
    <w:p>
      <w:pPr>
        <w:spacing w:line="560" w:lineRule="exact"/>
        <w:jc w:val="center"/>
        <w:rPr>
          <w:rFonts w:ascii="Times New Roman" w:hAnsi="Times New Roman" w:eastAsia="黑体"/>
          <w:sz w:val="48"/>
          <w:szCs w:val="24"/>
        </w:rPr>
      </w:pPr>
    </w:p>
    <w:p>
      <w:pPr>
        <w:tabs>
          <w:tab w:val="left" w:pos="2552"/>
          <w:tab w:val="left" w:pos="5812"/>
        </w:tabs>
        <w:jc w:val="center"/>
        <w:rPr>
          <w:rFonts w:ascii="Times New Roman" w:hAnsi="Times New Roman" w:eastAsia="黑体"/>
          <w:spacing w:val="46"/>
          <w:kern w:val="0"/>
          <w:sz w:val="36"/>
          <w:szCs w:val="36"/>
        </w:rPr>
        <w:pPrChange w:id="0" w:author="greatwall" w:date="2024-12-03T11:42:42Z">
          <w:pPr>
            <w:tabs>
              <w:tab w:val="left" w:pos="2552"/>
              <w:tab w:val="left" w:pos="5812"/>
            </w:tabs>
            <w:jc w:val="distribute"/>
          </w:pPr>
        </w:pPrChange>
      </w:pPr>
      <w:bookmarkStart w:id="1" w:name="_Hlk183683770"/>
      <w:r>
        <w:rPr>
          <w:rFonts w:hint="eastAsia" w:ascii="Times New Roman" w:hAnsi="Times New Roman" w:eastAsia="黑体"/>
          <w:spacing w:val="108"/>
          <w:kern w:val="0"/>
          <w:sz w:val="36"/>
          <w:szCs w:val="36"/>
          <w:fitText w:val="3240" w:id="-893225984"/>
        </w:rPr>
        <w:t>长治市商务</w:t>
      </w:r>
      <w:r>
        <w:rPr>
          <w:rFonts w:hint="eastAsia" w:ascii="Times New Roman" w:hAnsi="Times New Roman" w:eastAsia="黑体"/>
          <w:spacing w:val="0"/>
          <w:kern w:val="0"/>
          <w:sz w:val="36"/>
          <w:szCs w:val="36"/>
          <w:fitText w:val="3240" w:id="-893225984"/>
        </w:rPr>
        <w:t>局</w:t>
      </w:r>
    </w:p>
    <w:p>
      <w:pPr>
        <w:jc w:val="center"/>
        <w:rPr>
          <w:rFonts w:ascii="Times New Roman" w:hAnsi="Times New Roman" w:eastAsia="黑体"/>
          <w:sz w:val="36"/>
          <w:szCs w:val="36"/>
        </w:rPr>
        <w:pPrChange w:id="1" w:author="greatwall" w:date="2024-12-03T11:42:42Z">
          <w:pPr>
            <w:jc w:val="distribute"/>
          </w:pPr>
        </w:pPrChange>
      </w:pPr>
      <w:r>
        <w:rPr>
          <w:rFonts w:hint="eastAsia" w:ascii="Times New Roman" w:hAnsi="Times New Roman" w:eastAsia="黑体"/>
          <w:spacing w:val="0"/>
          <w:kern w:val="0"/>
          <w:sz w:val="36"/>
          <w:szCs w:val="36"/>
          <w:fitText w:val="3240" w:id="-893225983"/>
        </w:rPr>
        <w:t>山西省零售行业协会</w:t>
      </w:r>
    </w:p>
    <w:p>
      <w:pPr>
        <w:jc w:val="center"/>
        <w:rPr>
          <w:rFonts w:ascii="Times New Roman" w:hAnsi="Times New Roman" w:eastAsia="黑体"/>
          <w:sz w:val="36"/>
          <w:szCs w:val="36"/>
        </w:rPr>
        <w:sectPr>
          <w:footerReference r:id="rId3" w:type="default"/>
          <w:type w:val="continuous"/>
          <w:pgSz w:w="11906" w:h="16838"/>
          <w:pgMar w:top="1440" w:right="1800" w:bottom="1440" w:left="1800" w:header="851" w:footer="992" w:gutter="0"/>
          <w:pgNumType w:fmt="upperRoman" w:start="1"/>
          <w:cols w:space="425" w:num="1"/>
          <w:docGrid w:type="lines" w:linePitch="312" w:charSpace="0"/>
        </w:sectPr>
      </w:pPr>
      <w:r>
        <w:rPr>
          <w:rFonts w:hint="eastAsia" w:ascii="Times New Roman" w:hAnsi="Times New Roman" w:eastAsia="黑体"/>
          <w:kern w:val="0"/>
          <w:sz w:val="36"/>
          <w:szCs w:val="36"/>
        </w:rPr>
        <w:t>二〇二四年十二</w:t>
      </w:r>
      <w:r>
        <w:rPr>
          <w:rFonts w:ascii="Times New Roman" w:hAnsi="Times New Roman" w:eastAsia="黑体"/>
          <w:sz w:val="36"/>
          <w:szCs w:val="36"/>
        </w:rPr>
        <w:t>月</w:t>
      </w:r>
      <w:bookmarkEnd w:id="1"/>
      <w:r>
        <w:rPr>
          <w:rFonts w:ascii="Times New Roman" w:hAnsi="Times New Roman" w:eastAsia="黑体"/>
          <w:sz w:val="36"/>
          <w:szCs w:val="36"/>
        </w:rPr>
        <w:br w:type="page"/>
      </w:r>
      <w:bookmarkStart w:id="31" w:name="_GoBack"/>
      <w:bookmarkEnd w:id="31"/>
    </w:p>
    <w:sdt>
      <w:sdtPr>
        <w:rPr>
          <w:rFonts w:ascii="黑体" w:hAnsi="黑体" w:eastAsia="黑体" w:cs="Times New Roman"/>
          <w:color w:val="000000" w:themeColor="text1"/>
          <w:kern w:val="2"/>
          <w:sz w:val="36"/>
          <w:szCs w:val="36"/>
          <w:lang w:val="zh-CN"/>
          <w14:textFill>
            <w14:solidFill>
              <w14:schemeClr w14:val="tx1"/>
            </w14:solidFill>
          </w14:textFill>
        </w:rPr>
        <w:id w:val="1829784047"/>
        <w:docPartObj>
          <w:docPartGallery w:val="Table of Contents"/>
          <w:docPartUnique/>
        </w:docPartObj>
      </w:sdtPr>
      <w:sdtEndPr>
        <w:rPr>
          <w:rFonts w:ascii="黑体" w:hAnsi="黑体" w:eastAsia="黑体" w:cs="Times New Roman"/>
          <w:b/>
          <w:bCs/>
          <w:color w:val="auto"/>
          <w:kern w:val="2"/>
          <w:sz w:val="21"/>
          <w:szCs w:val="22"/>
          <w:lang w:val="zh-CN"/>
        </w:rPr>
      </w:sdtEndPr>
      <w:sdtContent>
        <w:p>
          <w:pPr>
            <w:pStyle w:val="56"/>
            <w:spacing w:before="360" w:after="312" w:afterLines="100"/>
            <w:jc w:val="center"/>
            <w:rPr>
              <w:rFonts w:hint="eastAsia" w:ascii="黑体" w:hAnsi="黑体" w:eastAsia="黑体"/>
              <w:color w:val="000000" w:themeColor="text1"/>
              <w:sz w:val="36"/>
              <w:szCs w:val="36"/>
              <w14:textFill>
                <w14:solidFill>
                  <w14:schemeClr w14:val="tx1"/>
                </w14:solidFill>
              </w14:textFill>
            </w:rPr>
          </w:pPr>
          <w:r>
            <w:rPr>
              <w:rFonts w:ascii="黑体" w:hAnsi="黑体" w:eastAsia="黑体"/>
              <w:color w:val="000000" w:themeColor="text1"/>
              <w:sz w:val="36"/>
              <w:szCs w:val="36"/>
              <w:lang w:val="zh-CN"/>
              <w14:textFill>
                <w14:solidFill>
                  <w14:schemeClr w14:val="tx1"/>
                </w14:solidFill>
              </w14:textFill>
            </w:rPr>
            <w:t>目</w:t>
          </w:r>
          <w:r>
            <w:rPr>
              <w:rFonts w:hint="eastAsia" w:ascii="黑体" w:hAnsi="黑体" w:eastAsia="黑体"/>
              <w:color w:val="000000" w:themeColor="text1"/>
              <w:sz w:val="36"/>
              <w:szCs w:val="36"/>
              <w:lang w:val="zh-CN"/>
              <w14:textFill>
                <w14:solidFill>
                  <w14:schemeClr w14:val="tx1"/>
                </w14:solidFill>
              </w14:textFill>
            </w:rPr>
            <w:t xml:space="preserve"> </w:t>
          </w:r>
          <w:r>
            <w:rPr>
              <w:rFonts w:ascii="黑体" w:hAnsi="黑体" w:eastAsia="黑体"/>
              <w:color w:val="000000" w:themeColor="text1"/>
              <w:sz w:val="36"/>
              <w:szCs w:val="36"/>
              <w:lang w:val="zh-CN"/>
              <w14:textFill>
                <w14:solidFill>
                  <w14:schemeClr w14:val="tx1"/>
                </w14:solidFill>
              </w14:textFill>
            </w:rPr>
            <w:t>录</w:t>
          </w:r>
        </w:p>
        <w:p>
          <w:pPr>
            <w:pStyle w:val="14"/>
            <w:tabs>
              <w:tab w:val="right" w:leader="dot" w:pos="8296"/>
            </w:tabs>
            <w:rPr>
              <w:rFonts w:hint="eastAsia" w:ascii="黑体" w:hAnsi="黑体" w:eastAsia="黑体" w:cstheme="minorBidi"/>
              <w:b/>
              <w:bCs/>
              <w:sz w:val="30"/>
              <w:szCs w:val="30"/>
              <w14:ligatures w14:val="standardContextual"/>
            </w:rPr>
          </w:pPr>
          <w:r>
            <w:rPr>
              <w:rFonts w:ascii="黑体" w:hAnsi="黑体" w:eastAsia="黑体"/>
              <w:b/>
              <w:bCs/>
              <w:sz w:val="30"/>
              <w:szCs w:val="30"/>
            </w:rPr>
            <w:fldChar w:fldCharType="begin"/>
          </w:r>
          <w:r>
            <w:rPr>
              <w:rFonts w:ascii="黑体" w:hAnsi="黑体" w:eastAsia="黑体"/>
              <w:b/>
              <w:bCs/>
              <w:sz w:val="30"/>
              <w:szCs w:val="30"/>
            </w:rPr>
            <w:instrText xml:space="preserve"> TOC \o "1-3" \h \z \u </w:instrText>
          </w:r>
          <w:r>
            <w:rPr>
              <w:rFonts w:ascii="黑体" w:hAnsi="黑体" w:eastAsia="黑体"/>
              <w:b/>
              <w:bCs/>
              <w:sz w:val="30"/>
              <w:szCs w:val="30"/>
            </w:rPr>
            <w:fldChar w:fldCharType="separate"/>
          </w:r>
          <w:r>
            <w:fldChar w:fldCharType="begin"/>
          </w:r>
          <w:r>
            <w:instrText xml:space="preserve"> HYPERLINK \l "_Toc183683948" </w:instrText>
          </w:r>
          <w:r>
            <w:fldChar w:fldCharType="separate"/>
          </w:r>
          <w:r>
            <w:rPr>
              <w:rStyle w:val="22"/>
              <w:rFonts w:hint="eastAsia" w:ascii="黑体" w:hAnsi="黑体" w:eastAsia="黑体"/>
              <w:b/>
              <w:bCs/>
              <w:kern w:val="0"/>
              <w:sz w:val="30"/>
              <w:szCs w:val="30"/>
            </w:rPr>
            <w:t>第一章 总 则</w:t>
          </w:r>
          <w:r>
            <w:rPr>
              <w:rFonts w:hint="eastAsia" w:ascii="黑体" w:hAnsi="黑体" w:eastAsia="黑体"/>
              <w:b/>
              <w:bCs/>
              <w:sz w:val="30"/>
              <w:szCs w:val="30"/>
            </w:rPr>
            <w:tab/>
          </w:r>
          <w:r>
            <w:rPr>
              <w:rFonts w:hint="eastAsia" w:ascii="黑体" w:hAnsi="黑体" w:eastAsia="黑体"/>
              <w:b/>
              <w:bCs/>
              <w:sz w:val="30"/>
              <w:szCs w:val="30"/>
            </w:rPr>
            <w:fldChar w:fldCharType="begin"/>
          </w:r>
          <w:r>
            <w:rPr>
              <w:rFonts w:hint="eastAsia" w:ascii="黑体" w:hAnsi="黑体" w:eastAsia="黑体"/>
              <w:b/>
              <w:bCs/>
              <w:sz w:val="30"/>
              <w:szCs w:val="30"/>
            </w:rPr>
            <w:instrText xml:space="preserve"> </w:instrText>
          </w:r>
          <w:r>
            <w:rPr>
              <w:rFonts w:ascii="黑体" w:hAnsi="黑体" w:eastAsia="黑体"/>
              <w:b/>
              <w:bCs/>
              <w:sz w:val="30"/>
              <w:szCs w:val="30"/>
            </w:rPr>
            <w:instrText xml:space="preserve">PAGEREF _Toc183683948 \h</w:instrText>
          </w:r>
          <w:r>
            <w:rPr>
              <w:rFonts w:hint="eastAsia" w:ascii="黑体" w:hAnsi="黑体" w:eastAsia="黑体"/>
              <w:b/>
              <w:bCs/>
              <w:sz w:val="30"/>
              <w:szCs w:val="30"/>
            </w:rPr>
            <w:instrText xml:space="preserve"> </w:instrText>
          </w:r>
          <w:r>
            <w:rPr>
              <w:rFonts w:hint="eastAsia" w:ascii="黑体" w:hAnsi="黑体" w:eastAsia="黑体"/>
              <w:b/>
              <w:bCs/>
              <w:sz w:val="30"/>
              <w:szCs w:val="30"/>
            </w:rPr>
            <w:fldChar w:fldCharType="separate"/>
          </w:r>
          <w:r>
            <w:rPr>
              <w:rFonts w:hint="eastAsia" w:ascii="黑体" w:hAnsi="黑体" w:eastAsia="黑体"/>
              <w:b/>
              <w:bCs/>
              <w:sz w:val="30"/>
              <w:szCs w:val="30"/>
            </w:rPr>
            <w:t>1</w:t>
          </w:r>
          <w:r>
            <w:rPr>
              <w:rFonts w:hint="eastAsia" w:ascii="黑体" w:hAnsi="黑体" w:eastAsia="黑体"/>
              <w:b/>
              <w:bCs/>
              <w:sz w:val="30"/>
              <w:szCs w:val="30"/>
            </w:rPr>
            <w:fldChar w:fldCharType="end"/>
          </w:r>
          <w:r>
            <w:rPr>
              <w:rFonts w:hint="eastAsia" w:ascii="黑体" w:hAnsi="黑体" w:eastAsia="黑体"/>
              <w:b/>
              <w:bCs/>
              <w:sz w:val="30"/>
              <w:szCs w:val="30"/>
            </w:rPr>
            <w:fldChar w:fldCharType="end"/>
          </w:r>
        </w:p>
        <w:p>
          <w:pPr>
            <w:pStyle w:val="14"/>
            <w:tabs>
              <w:tab w:val="right" w:leader="dot" w:pos="8296"/>
            </w:tabs>
            <w:rPr>
              <w:rFonts w:hint="eastAsia" w:ascii="黑体" w:hAnsi="黑体" w:eastAsia="黑体" w:cstheme="minorBidi"/>
              <w:b/>
              <w:bCs/>
              <w:sz w:val="30"/>
              <w:szCs w:val="30"/>
              <w14:ligatures w14:val="standardContextual"/>
            </w:rPr>
          </w:pPr>
          <w:r>
            <w:fldChar w:fldCharType="begin"/>
          </w:r>
          <w:r>
            <w:instrText xml:space="preserve"> HYPERLINK \l "_Toc183683949" </w:instrText>
          </w:r>
          <w:r>
            <w:fldChar w:fldCharType="separate"/>
          </w:r>
          <w:r>
            <w:rPr>
              <w:rStyle w:val="22"/>
              <w:rFonts w:hint="eastAsia" w:ascii="黑体" w:hAnsi="黑体" w:eastAsia="黑体"/>
              <w:b/>
              <w:bCs/>
              <w:kern w:val="0"/>
              <w:sz w:val="30"/>
              <w:szCs w:val="30"/>
            </w:rPr>
            <w:t>第二章 指导思想与发展定位</w:t>
          </w:r>
          <w:r>
            <w:rPr>
              <w:rFonts w:hint="eastAsia" w:ascii="黑体" w:hAnsi="黑体" w:eastAsia="黑体"/>
              <w:b/>
              <w:bCs/>
              <w:sz w:val="30"/>
              <w:szCs w:val="30"/>
            </w:rPr>
            <w:tab/>
          </w:r>
          <w:r>
            <w:rPr>
              <w:rFonts w:hint="eastAsia" w:ascii="黑体" w:hAnsi="黑体" w:eastAsia="黑体"/>
              <w:b/>
              <w:bCs/>
              <w:sz w:val="30"/>
              <w:szCs w:val="30"/>
            </w:rPr>
            <w:fldChar w:fldCharType="begin"/>
          </w:r>
          <w:r>
            <w:rPr>
              <w:rFonts w:hint="eastAsia" w:ascii="黑体" w:hAnsi="黑体" w:eastAsia="黑体"/>
              <w:b/>
              <w:bCs/>
              <w:sz w:val="30"/>
              <w:szCs w:val="30"/>
            </w:rPr>
            <w:instrText xml:space="preserve"> </w:instrText>
          </w:r>
          <w:r>
            <w:rPr>
              <w:rFonts w:ascii="黑体" w:hAnsi="黑体" w:eastAsia="黑体"/>
              <w:b/>
              <w:bCs/>
              <w:sz w:val="30"/>
              <w:szCs w:val="30"/>
            </w:rPr>
            <w:instrText xml:space="preserve">PAGEREF _Toc183683949 \h</w:instrText>
          </w:r>
          <w:r>
            <w:rPr>
              <w:rFonts w:hint="eastAsia" w:ascii="黑体" w:hAnsi="黑体" w:eastAsia="黑体"/>
              <w:b/>
              <w:bCs/>
              <w:sz w:val="30"/>
              <w:szCs w:val="30"/>
            </w:rPr>
            <w:instrText xml:space="preserve"> </w:instrText>
          </w:r>
          <w:r>
            <w:rPr>
              <w:rFonts w:hint="eastAsia" w:ascii="黑体" w:hAnsi="黑体" w:eastAsia="黑体"/>
              <w:b/>
              <w:bCs/>
              <w:sz w:val="30"/>
              <w:szCs w:val="30"/>
            </w:rPr>
            <w:fldChar w:fldCharType="separate"/>
          </w:r>
          <w:r>
            <w:rPr>
              <w:rFonts w:hint="eastAsia" w:ascii="黑体" w:hAnsi="黑体" w:eastAsia="黑体"/>
              <w:b/>
              <w:bCs/>
              <w:sz w:val="30"/>
              <w:szCs w:val="30"/>
            </w:rPr>
            <w:t>2</w:t>
          </w:r>
          <w:r>
            <w:rPr>
              <w:rFonts w:hint="eastAsia" w:ascii="黑体" w:hAnsi="黑体" w:eastAsia="黑体"/>
              <w:b/>
              <w:bCs/>
              <w:sz w:val="30"/>
              <w:szCs w:val="30"/>
            </w:rPr>
            <w:fldChar w:fldCharType="end"/>
          </w:r>
          <w:r>
            <w:rPr>
              <w:rFonts w:hint="eastAsia" w:ascii="黑体" w:hAnsi="黑体" w:eastAsia="黑体"/>
              <w:b/>
              <w:bCs/>
              <w:sz w:val="30"/>
              <w:szCs w:val="30"/>
            </w:rPr>
            <w:fldChar w:fldCharType="end"/>
          </w:r>
        </w:p>
        <w:p>
          <w:pPr>
            <w:pStyle w:val="14"/>
            <w:tabs>
              <w:tab w:val="right" w:leader="dot" w:pos="8296"/>
            </w:tabs>
            <w:rPr>
              <w:rFonts w:hint="eastAsia" w:ascii="黑体" w:hAnsi="黑体" w:eastAsia="黑体" w:cstheme="minorBidi"/>
              <w:b/>
              <w:bCs/>
              <w:sz w:val="30"/>
              <w:szCs w:val="30"/>
              <w14:ligatures w14:val="standardContextual"/>
            </w:rPr>
          </w:pPr>
          <w:r>
            <w:fldChar w:fldCharType="begin"/>
          </w:r>
          <w:r>
            <w:instrText xml:space="preserve"> HYPERLINK \l "_Toc183683950" </w:instrText>
          </w:r>
          <w:r>
            <w:fldChar w:fldCharType="separate"/>
          </w:r>
          <w:r>
            <w:rPr>
              <w:rStyle w:val="22"/>
              <w:rFonts w:hint="eastAsia" w:ascii="黑体" w:hAnsi="黑体" w:eastAsia="黑体"/>
              <w:b/>
              <w:bCs/>
              <w:kern w:val="0"/>
              <w:sz w:val="30"/>
              <w:szCs w:val="30"/>
            </w:rPr>
            <w:t xml:space="preserve">第三章 </w:t>
          </w:r>
          <w:r>
            <w:rPr>
              <w:rStyle w:val="22"/>
              <w:rFonts w:hint="eastAsia" w:ascii="黑体" w:hAnsi="黑体" w:eastAsia="黑体"/>
              <w:b/>
              <w:bCs/>
              <w:kern w:val="44"/>
              <w:sz w:val="30"/>
              <w:szCs w:val="30"/>
            </w:rPr>
            <w:t>商业空间规划布局</w:t>
          </w:r>
          <w:r>
            <w:rPr>
              <w:rFonts w:hint="eastAsia" w:ascii="黑体" w:hAnsi="黑体" w:eastAsia="黑体"/>
              <w:b/>
              <w:bCs/>
              <w:sz w:val="30"/>
              <w:szCs w:val="30"/>
            </w:rPr>
            <w:tab/>
          </w:r>
          <w:r>
            <w:rPr>
              <w:rFonts w:hint="eastAsia" w:ascii="黑体" w:hAnsi="黑体" w:eastAsia="黑体"/>
              <w:b/>
              <w:bCs/>
              <w:sz w:val="30"/>
              <w:szCs w:val="30"/>
            </w:rPr>
            <w:fldChar w:fldCharType="begin"/>
          </w:r>
          <w:r>
            <w:rPr>
              <w:rFonts w:hint="eastAsia" w:ascii="黑体" w:hAnsi="黑体" w:eastAsia="黑体"/>
              <w:b/>
              <w:bCs/>
              <w:sz w:val="30"/>
              <w:szCs w:val="30"/>
            </w:rPr>
            <w:instrText xml:space="preserve"> </w:instrText>
          </w:r>
          <w:r>
            <w:rPr>
              <w:rFonts w:ascii="黑体" w:hAnsi="黑体" w:eastAsia="黑体"/>
              <w:b/>
              <w:bCs/>
              <w:sz w:val="30"/>
              <w:szCs w:val="30"/>
            </w:rPr>
            <w:instrText xml:space="preserve">PAGEREF _Toc183683950 \h</w:instrText>
          </w:r>
          <w:r>
            <w:rPr>
              <w:rFonts w:hint="eastAsia" w:ascii="黑体" w:hAnsi="黑体" w:eastAsia="黑体"/>
              <w:b/>
              <w:bCs/>
              <w:sz w:val="30"/>
              <w:szCs w:val="30"/>
            </w:rPr>
            <w:instrText xml:space="preserve"> </w:instrText>
          </w:r>
          <w:r>
            <w:rPr>
              <w:rFonts w:hint="eastAsia" w:ascii="黑体" w:hAnsi="黑体" w:eastAsia="黑体"/>
              <w:b/>
              <w:bCs/>
              <w:sz w:val="30"/>
              <w:szCs w:val="30"/>
            </w:rPr>
            <w:fldChar w:fldCharType="separate"/>
          </w:r>
          <w:r>
            <w:rPr>
              <w:rFonts w:hint="eastAsia" w:ascii="黑体" w:hAnsi="黑体" w:eastAsia="黑体"/>
              <w:b/>
              <w:bCs/>
              <w:sz w:val="30"/>
              <w:szCs w:val="30"/>
            </w:rPr>
            <w:t>6</w:t>
          </w:r>
          <w:r>
            <w:rPr>
              <w:rFonts w:hint="eastAsia" w:ascii="黑体" w:hAnsi="黑体" w:eastAsia="黑体"/>
              <w:b/>
              <w:bCs/>
              <w:sz w:val="30"/>
              <w:szCs w:val="30"/>
            </w:rPr>
            <w:fldChar w:fldCharType="end"/>
          </w:r>
          <w:r>
            <w:rPr>
              <w:rFonts w:hint="eastAsia" w:ascii="黑体" w:hAnsi="黑体" w:eastAsia="黑体"/>
              <w:b/>
              <w:bCs/>
              <w:sz w:val="30"/>
              <w:szCs w:val="30"/>
            </w:rPr>
            <w:fldChar w:fldCharType="end"/>
          </w:r>
        </w:p>
        <w:p>
          <w:pPr>
            <w:pStyle w:val="16"/>
            <w:tabs>
              <w:tab w:val="right" w:leader="dot" w:pos="8296"/>
            </w:tabs>
            <w:rPr>
              <w:rFonts w:hint="eastAsia" w:ascii="黑体" w:hAnsi="黑体" w:eastAsia="黑体" w:cstheme="minorBidi"/>
              <w:b/>
              <w:bCs/>
              <w:sz w:val="30"/>
              <w:szCs w:val="30"/>
              <w14:ligatures w14:val="standardContextual"/>
            </w:rPr>
          </w:pPr>
          <w:r>
            <w:fldChar w:fldCharType="begin"/>
          </w:r>
          <w:r>
            <w:instrText xml:space="preserve"> HYPERLINK \l "_Toc183683951" </w:instrText>
          </w:r>
          <w:r>
            <w:fldChar w:fldCharType="separate"/>
          </w:r>
          <w:r>
            <w:rPr>
              <w:rStyle w:val="22"/>
              <w:rFonts w:hint="eastAsia" w:ascii="黑体" w:hAnsi="黑体" w:eastAsia="黑体"/>
              <w:b/>
              <w:bCs/>
              <w:sz w:val="30"/>
              <w:szCs w:val="30"/>
            </w:rPr>
            <w:t>第一节 商业空间总体格局规划</w:t>
          </w:r>
          <w:r>
            <w:rPr>
              <w:rFonts w:hint="eastAsia" w:ascii="黑体" w:hAnsi="黑体" w:eastAsia="黑体"/>
              <w:b/>
              <w:bCs/>
              <w:sz w:val="30"/>
              <w:szCs w:val="30"/>
            </w:rPr>
            <w:tab/>
          </w:r>
          <w:r>
            <w:rPr>
              <w:rFonts w:hint="eastAsia" w:ascii="黑体" w:hAnsi="黑体" w:eastAsia="黑体"/>
              <w:b/>
              <w:bCs/>
              <w:sz w:val="30"/>
              <w:szCs w:val="30"/>
            </w:rPr>
            <w:fldChar w:fldCharType="begin"/>
          </w:r>
          <w:r>
            <w:rPr>
              <w:rFonts w:hint="eastAsia" w:ascii="黑体" w:hAnsi="黑体" w:eastAsia="黑体"/>
              <w:b/>
              <w:bCs/>
              <w:sz w:val="30"/>
              <w:szCs w:val="30"/>
            </w:rPr>
            <w:instrText xml:space="preserve"> </w:instrText>
          </w:r>
          <w:r>
            <w:rPr>
              <w:rFonts w:ascii="黑体" w:hAnsi="黑体" w:eastAsia="黑体"/>
              <w:b/>
              <w:bCs/>
              <w:sz w:val="30"/>
              <w:szCs w:val="30"/>
            </w:rPr>
            <w:instrText xml:space="preserve">PAGEREF _Toc183683951 \h</w:instrText>
          </w:r>
          <w:r>
            <w:rPr>
              <w:rFonts w:hint="eastAsia" w:ascii="黑体" w:hAnsi="黑体" w:eastAsia="黑体"/>
              <w:b/>
              <w:bCs/>
              <w:sz w:val="30"/>
              <w:szCs w:val="30"/>
            </w:rPr>
            <w:instrText xml:space="preserve"> </w:instrText>
          </w:r>
          <w:r>
            <w:rPr>
              <w:rFonts w:hint="eastAsia" w:ascii="黑体" w:hAnsi="黑体" w:eastAsia="黑体"/>
              <w:b/>
              <w:bCs/>
              <w:sz w:val="30"/>
              <w:szCs w:val="30"/>
            </w:rPr>
            <w:fldChar w:fldCharType="separate"/>
          </w:r>
          <w:r>
            <w:rPr>
              <w:rFonts w:hint="eastAsia" w:ascii="黑体" w:hAnsi="黑体" w:eastAsia="黑体"/>
              <w:b/>
              <w:bCs/>
              <w:sz w:val="30"/>
              <w:szCs w:val="30"/>
            </w:rPr>
            <w:t>6</w:t>
          </w:r>
          <w:r>
            <w:rPr>
              <w:rFonts w:hint="eastAsia" w:ascii="黑体" w:hAnsi="黑体" w:eastAsia="黑体"/>
              <w:b/>
              <w:bCs/>
              <w:sz w:val="30"/>
              <w:szCs w:val="30"/>
            </w:rPr>
            <w:fldChar w:fldCharType="end"/>
          </w:r>
          <w:r>
            <w:rPr>
              <w:rFonts w:hint="eastAsia" w:ascii="黑体" w:hAnsi="黑体" w:eastAsia="黑体"/>
              <w:b/>
              <w:bCs/>
              <w:sz w:val="30"/>
              <w:szCs w:val="30"/>
            </w:rPr>
            <w:fldChar w:fldCharType="end"/>
          </w:r>
        </w:p>
        <w:p>
          <w:pPr>
            <w:pStyle w:val="16"/>
            <w:tabs>
              <w:tab w:val="right" w:leader="dot" w:pos="8296"/>
            </w:tabs>
            <w:rPr>
              <w:rFonts w:hint="eastAsia" w:ascii="黑体" w:hAnsi="黑体" w:eastAsia="黑体" w:cstheme="minorBidi"/>
              <w:b/>
              <w:bCs/>
              <w:sz w:val="30"/>
              <w:szCs w:val="30"/>
              <w14:ligatures w14:val="standardContextual"/>
            </w:rPr>
          </w:pPr>
          <w:r>
            <w:fldChar w:fldCharType="begin"/>
          </w:r>
          <w:r>
            <w:instrText xml:space="preserve"> HYPERLINK \l "_Toc183683952" </w:instrText>
          </w:r>
          <w:r>
            <w:fldChar w:fldCharType="separate"/>
          </w:r>
          <w:r>
            <w:rPr>
              <w:rStyle w:val="22"/>
              <w:rFonts w:hint="eastAsia" w:ascii="黑体" w:hAnsi="黑体" w:eastAsia="黑体"/>
              <w:b/>
              <w:bCs/>
              <w:sz w:val="30"/>
              <w:szCs w:val="30"/>
            </w:rPr>
            <w:t>第二节 商业中心规划</w:t>
          </w:r>
          <w:r>
            <w:rPr>
              <w:rFonts w:hint="eastAsia" w:ascii="黑体" w:hAnsi="黑体" w:eastAsia="黑体"/>
              <w:b/>
              <w:bCs/>
              <w:sz w:val="30"/>
              <w:szCs w:val="30"/>
            </w:rPr>
            <w:tab/>
          </w:r>
          <w:r>
            <w:rPr>
              <w:rFonts w:hint="eastAsia" w:ascii="黑体" w:hAnsi="黑体" w:eastAsia="黑体"/>
              <w:b/>
              <w:bCs/>
              <w:sz w:val="30"/>
              <w:szCs w:val="30"/>
            </w:rPr>
            <w:fldChar w:fldCharType="begin"/>
          </w:r>
          <w:r>
            <w:rPr>
              <w:rFonts w:hint="eastAsia" w:ascii="黑体" w:hAnsi="黑体" w:eastAsia="黑体"/>
              <w:b/>
              <w:bCs/>
              <w:sz w:val="30"/>
              <w:szCs w:val="30"/>
            </w:rPr>
            <w:instrText xml:space="preserve"> </w:instrText>
          </w:r>
          <w:r>
            <w:rPr>
              <w:rFonts w:ascii="黑体" w:hAnsi="黑体" w:eastAsia="黑体"/>
              <w:b/>
              <w:bCs/>
              <w:sz w:val="30"/>
              <w:szCs w:val="30"/>
            </w:rPr>
            <w:instrText xml:space="preserve">PAGEREF _Toc183683952 \h</w:instrText>
          </w:r>
          <w:r>
            <w:rPr>
              <w:rFonts w:hint="eastAsia" w:ascii="黑体" w:hAnsi="黑体" w:eastAsia="黑体"/>
              <w:b/>
              <w:bCs/>
              <w:sz w:val="30"/>
              <w:szCs w:val="30"/>
            </w:rPr>
            <w:instrText xml:space="preserve"> </w:instrText>
          </w:r>
          <w:r>
            <w:rPr>
              <w:rFonts w:hint="eastAsia" w:ascii="黑体" w:hAnsi="黑体" w:eastAsia="黑体"/>
              <w:b/>
              <w:bCs/>
              <w:sz w:val="30"/>
              <w:szCs w:val="30"/>
            </w:rPr>
            <w:fldChar w:fldCharType="separate"/>
          </w:r>
          <w:r>
            <w:rPr>
              <w:rFonts w:hint="eastAsia" w:ascii="黑体" w:hAnsi="黑体" w:eastAsia="黑体"/>
              <w:b/>
              <w:bCs/>
              <w:sz w:val="30"/>
              <w:szCs w:val="30"/>
            </w:rPr>
            <w:t>7</w:t>
          </w:r>
          <w:r>
            <w:rPr>
              <w:rFonts w:hint="eastAsia" w:ascii="黑体" w:hAnsi="黑体" w:eastAsia="黑体"/>
              <w:b/>
              <w:bCs/>
              <w:sz w:val="30"/>
              <w:szCs w:val="30"/>
            </w:rPr>
            <w:fldChar w:fldCharType="end"/>
          </w:r>
          <w:r>
            <w:rPr>
              <w:rFonts w:hint="eastAsia" w:ascii="黑体" w:hAnsi="黑体" w:eastAsia="黑体"/>
              <w:b/>
              <w:bCs/>
              <w:sz w:val="30"/>
              <w:szCs w:val="30"/>
            </w:rPr>
            <w:fldChar w:fldCharType="end"/>
          </w:r>
        </w:p>
        <w:p>
          <w:pPr>
            <w:pStyle w:val="16"/>
            <w:tabs>
              <w:tab w:val="right" w:leader="dot" w:pos="8296"/>
            </w:tabs>
            <w:rPr>
              <w:rFonts w:hint="eastAsia" w:ascii="黑体" w:hAnsi="黑体" w:eastAsia="黑体" w:cstheme="minorBidi"/>
              <w:b/>
              <w:bCs/>
              <w:sz w:val="30"/>
              <w:szCs w:val="30"/>
              <w14:ligatures w14:val="standardContextual"/>
            </w:rPr>
          </w:pPr>
          <w:r>
            <w:fldChar w:fldCharType="begin"/>
          </w:r>
          <w:r>
            <w:instrText xml:space="preserve"> HYPERLINK \l "_Toc183683953" </w:instrText>
          </w:r>
          <w:r>
            <w:fldChar w:fldCharType="separate"/>
          </w:r>
          <w:r>
            <w:rPr>
              <w:rStyle w:val="22"/>
              <w:rFonts w:hint="eastAsia" w:ascii="黑体" w:hAnsi="黑体" w:eastAsia="黑体"/>
              <w:b/>
              <w:bCs/>
              <w:sz w:val="30"/>
              <w:szCs w:val="30"/>
            </w:rPr>
            <w:t>第三节 社区商业规划</w:t>
          </w:r>
          <w:r>
            <w:rPr>
              <w:rFonts w:hint="eastAsia" w:ascii="黑体" w:hAnsi="黑体" w:eastAsia="黑体"/>
              <w:b/>
              <w:bCs/>
              <w:sz w:val="30"/>
              <w:szCs w:val="30"/>
            </w:rPr>
            <w:tab/>
          </w:r>
          <w:r>
            <w:rPr>
              <w:rFonts w:hint="eastAsia" w:ascii="黑体" w:hAnsi="黑体" w:eastAsia="黑体"/>
              <w:b/>
              <w:bCs/>
              <w:sz w:val="30"/>
              <w:szCs w:val="30"/>
            </w:rPr>
            <w:fldChar w:fldCharType="begin"/>
          </w:r>
          <w:r>
            <w:rPr>
              <w:rFonts w:hint="eastAsia" w:ascii="黑体" w:hAnsi="黑体" w:eastAsia="黑体"/>
              <w:b/>
              <w:bCs/>
              <w:sz w:val="30"/>
              <w:szCs w:val="30"/>
            </w:rPr>
            <w:instrText xml:space="preserve"> </w:instrText>
          </w:r>
          <w:r>
            <w:rPr>
              <w:rFonts w:ascii="黑体" w:hAnsi="黑体" w:eastAsia="黑体"/>
              <w:b/>
              <w:bCs/>
              <w:sz w:val="30"/>
              <w:szCs w:val="30"/>
            </w:rPr>
            <w:instrText xml:space="preserve">PAGEREF _Toc183683953 \h</w:instrText>
          </w:r>
          <w:r>
            <w:rPr>
              <w:rFonts w:hint="eastAsia" w:ascii="黑体" w:hAnsi="黑体" w:eastAsia="黑体"/>
              <w:b/>
              <w:bCs/>
              <w:sz w:val="30"/>
              <w:szCs w:val="30"/>
            </w:rPr>
            <w:instrText xml:space="preserve"> </w:instrText>
          </w:r>
          <w:r>
            <w:rPr>
              <w:rFonts w:hint="eastAsia" w:ascii="黑体" w:hAnsi="黑体" w:eastAsia="黑体"/>
              <w:b/>
              <w:bCs/>
              <w:sz w:val="30"/>
              <w:szCs w:val="30"/>
            </w:rPr>
            <w:fldChar w:fldCharType="separate"/>
          </w:r>
          <w:r>
            <w:rPr>
              <w:rFonts w:hint="eastAsia" w:ascii="黑体" w:hAnsi="黑体" w:eastAsia="黑体"/>
              <w:b/>
              <w:bCs/>
              <w:sz w:val="30"/>
              <w:szCs w:val="30"/>
            </w:rPr>
            <w:t>11</w:t>
          </w:r>
          <w:r>
            <w:rPr>
              <w:rFonts w:hint="eastAsia" w:ascii="黑体" w:hAnsi="黑体" w:eastAsia="黑体"/>
              <w:b/>
              <w:bCs/>
              <w:sz w:val="30"/>
              <w:szCs w:val="30"/>
            </w:rPr>
            <w:fldChar w:fldCharType="end"/>
          </w:r>
          <w:r>
            <w:rPr>
              <w:rFonts w:hint="eastAsia" w:ascii="黑体" w:hAnsi="黑体" w:eastAsia="黑体"/>
              <w:b/>
              <w:bCs/>
              <w:sz w:val="30"/>
              <w:szCs w:val="30"/>
            </w:rPr>
            <w:fldChar w:fldCharType="end"/>
          </w:r>
        </w:p>
        <w:p>
          <w:pPr>
            <w:pStyle w:val="16"/>
            <w:tabs>
              <w:tab w:val="right" w:leader="dot" w:pos="8296"/>
            </w:tabs>
            <w:rPr>
              <w:rFonts w:hint="eastAsia" w:ascii="黑体" w:hAnsi="黑体" w:eastAsia="黑体" w:cstheme="minorBidi"/>
              <w:b/>
              <w:bCs/>
              <w:sz w:val="30"/>
              <w:szCs w:val="30"/>
              <w14:ligatures w14:val="standardContextual"/>
            </w:rPr>
          </w:pPr>
          <w:r>
            <w:fldChar w:fldCharType="begin"/>
          </w:r>
          <w:r>
            <w:instrText xml:space="preserve"> HYPERLINK \l "_Toc183683954" </w:instrText>
          </w:r>
          <w:r>
            <w:fldChar w:fldCharType="separate"/>
          </w:r>
          <w:r>
            <w:rPr>
              <w:rStyle w:val="22"/>
              <w:rFonts w:hint="eastAsia" w:ascii="黑体" w:hAnsi="黑体" w:eastAsia="黑体"/>
              <w:b/>
              <w:bCs/>
              <w:sz w:val="30"/>
              <w:szCs w:val="30"/>
            </w:rPr>
            <w:t>第四节 商业街规划布局</w:t>
          </w:r>
          <w:r>
            <w:rPr>
              <w:rFonts w:hint="eastAsia" w:ascii="黑体" w:hAnsi="黑体" w:eastAsia="黑体"/>
              <w:b/>
              <w:bCs/>
              <w:sz w:val="30"/>
              <w:szCs w:val="30"/>
            </w:rPr>
            <w:tab/>
          </w:r>
          <w:r>
            <w:rPr>
              <w:rFonts w:hint="eastAsia" w:ascii="黑体" w:hAnsi="黑体" w:eastAsia="黑体"/>
              <w:b/>
              <w:bCs/>
              <w:sz w:val="30"/>
              <w:szCs w:val="30"/>
            </w:rPr>
            <w:fldChar w:fldCharType="begin"/>
          </w:r>
          <w:r>
            <w:rPr>
              <w:rFonts w:hint="eastAsia" w:ascii="黑体" w:hAnsi="黑体" w:eastAsia="黑体"/>
              <w:b/>
              <w:bCs/>
              <w:sz w:val="30"/>
              <w:szCs w:val="30"/>
            </w:rPr>
            <w:instrText xml:space="preserve"> </w:instrText>
          </w:r>
          <w:r>
            <w:rPr>
              <w:rFonts w:ascii="黑体" w:hAnsi="黑体" w:eastAsia="黑体"/>
              <w:b/>
              <w:bCs/>
              <w:sz w:val="30"/>
              <w:szCs w:val="30"/>
            </w:rPr>
            <w:instrText xml:space="preserve">PAGEREF _Toc183683954 \h</w:instrText>
          </w:r>
          <w:r>
            <w:rPr>
              <w:rFonts w:hint="eastAsia" w:ascii="黑体" w:hAnsi="黑体" w:eastAsia="黑体"/>
              <w:b/>
              <w:bCs/>
              <w:sz w:val="30"/>
              <w:szCs w:val="30"/>
            </w:rPr>
            <w:instrText xml:space="preserve"> </w:instrText>
          </w:r>
          <w:r>
            <w:rPr>
              <w:rFonts w:hint="eastAsia" w:ascii="黑体" w:hAnsi="黑体" w:eastAsia="黑体"/>
              <w:b/>
              <w:bCs/>
              <w:sz w:val="30"/>
              <w:szCs w:val="30"/>
            </w:rPr>
            <w:fldChar w:fldCharType="separate"/>
          </w:r>
          <w:r>
            <w:rPr>
              <w:rFonts w:hint="eastAsia" w:ascii="黑体" w:hAnsi="黑体" w:eastAsia="黑体"/>
              <w:b/>
              <w:bCs/>
              <w:sz w:val="30"/>
              <w:szCs w:val="30"/>
            </w:rPr>
            <w:t>16</w:t>
          </w:r>
          <w:r>
            <w:rPr>
              <w:rFonts w:hint="eastAsia" w:ascii="黑体" w:hAnsi="黑体" w:eastAsia="黑体"/>
              <w:b/>
              <w:bCs/>
              <w:sz w:val="30"/>
              <w:szCs w:val="30"/>
            </w:rPr>
            <w:fldChar w:fldCharType="end"/>
          </w:r>
          <w:r>
            <w:rPr>
              <w:rFonts w:hint="eastAsia" w:ascii="黑体" w:hAnsi="黑体" w:eastAsia="黑体"/>
              <w:b/>
              <w:bCs/>
              <w:sz w:val="30"/>
              <w:szCs w:val="30"/>
            </w:rPr>
            <w:fldChar w:fldCharType="end"/>
          </w:r>
        </w:p>
        <w:p>
          <w:pPr>
            <w:pStyle w:val="16"/>
            <w:tabs>
              <w:tab w:val="right" w:leader="dot" w:pos="8296"/>
            </w:tabs>
            <w:rPr>
              <w:rFonts w:hint="eastAsia" w:ascii="黑体" w:hAnsi="黑体" w:eastAsia="黑体" w:cstheme="minorBidi"/>
              <w:b/>
              <w:bCs/>
              <w:sz w:val="30"/>
              <w:szCs w:val="30"/>
              <w14:ligatures w14:val="standardContextual"/>
            </w:rPr>
          </w:pPr>
          <w:r>
            <w:fldChar w:fldCharType="begin"/>
          </w:r>
          <w:r>
            <w:instrText xml:space="preserve"> HYPERLINK \l "_Toc183683955" </w:instrText>
          </w:r>
          <w:r>
            <w:fldChar w:fldCharType="separate"/>
          </w:r>
          <w:r>
            <w:rPr>
              <w:rStyle w:val="22"/>
              <w:rFonts w:hint="eastAsia" w:ascii="黑体" w:hAnsi="黑体" w:eastAsia="黑体"/>
              <w:b/>
              <w:bCs/>
              <w:sz w:val="30"/>
              <w:szCs w:val="30"/>
            </w:rPr>
            <w:t>第五节 商品交易市场规划布局</w:t>
          </w:r>
          <w:r>
            <w:rPr>
              <w:rFonts w:hint="eastAsia" w:ascii="黑体" w:hAnsi="黑体" w:eastAsia="黑体"/>
              <w:b/>
              <w:bCs/>
              <w:sz w:val="30"/>
              <w:szCs w:val="30"/>
            </w:rPr>
            <w:tab/>
          </w:r>
          <w:r>
            <w:rPr>
              <w:rFonts w:hint="eastAsia" w:ascii="黑体" w:hAnsi="黑体" w:eastAsia="黑体"/>
              <w:b/>
              <w:bCs/>
              <w:sz w:val="30"/>
              <w:szCs w:val="30"/>
            </w:rPr>
            <w:fldChar w:fldCharType="begin"/>
          </w:r>
          <w:r>
            <w:rPr>
              <w:rFonts w:hint="eastAsia" w:ascii="黑体" w:hAnsi="黑体" w:eastAsia="黑体"/>
              <w:b/>
              <w:bCs/>
              <w:sz w:val="30"/>
              <w:szCs w:val="30"/>
            </w:rPr>
            <w:instrText xml:space="preserve"> </w:instrText>
          </w:r>
          <w:r>
            <w:rPr>
              <w:rFonts w:ascii="黑体" w:hAnsi="黑体" w:eastAsia="黑体"/>
              <w:b/>
              <w:bCs/>
              <w:sz w:val="30"/>
              <w:szCs w:val="30"/>
            </w:rPr>
            <w:instrText xml:space="preserve">PAGEREF _Toc183683955 \h</w:instrText>
          </w:r>
          <w:r>
            <w:rPr>
              <w:rFonts w:hint="eastAsia" w:ascii="黑体" w:hAnsi="黑体" w:eastAsia="黑体"/>
              <w:b/>
              <w:bCs/>
              <w:sz w:val="30"/>
              <w:szCs w:val="30"/>
            </w:rPr>
            <w:instrText xml:space="preserve"> </w:instrText>
          </w:r>
          <w:r>
            <w:rPr>
              <w:rFonts w:hint="eastAsia" w:ascii="黑体" w:hAnsi="黑体" w:eastAsia="黑体"/>
              <w:b/>
              <w:bCs/>
              <w:sz w:val="30"/>
              <w:szCs w:val="30"/>
            </w:rPr>
            <w:fldChar w:fldCharType="separate"/>
          </w:r>
          <w:r>
            <w:rPr>
              <w:rFonts w:hint="eastAsia" w:ascii="黑体" w:hAnsi="黑体" w:eastAsia="黑体"/>
              <w:b/>
              <w:bCs/>
              <w:sz w:val="30"/>
              <w:szCs w:val="30"/>
            </w:rPr>
            <w:t>18</w:t>
          </w:r>
          <w:r>
            <w:rPr>
              <w:rFonts w:hint="eastAsia" w:ascii="黑体" w:hAnsi="黑体" w:eastAsia="黑体"/>
              <w:b/>
              <w:bCs/>
              <w:sz w:val="30"/>
              <w:szCs w:val="30"/>
            </w:rPr>
            <w:fldChar w:fldCharType="end"/>
          </w:r>
          <w:r>
            <w:rPr>
              <w:rFonts w:hint="eastAsia" w:ascii="黑体" w:hAnsi="黑体" w:eastAsia="黑体"/>
              <w:b/>
              <w:bCs/>
              <w:sz w:val="30"/>
              <w:szCs w:val="30"/>
            </w:rPr>
            <w:fldChar w:fldCharType="end"/>
          </w:r>
        </w:p>
        <w:p>
          <w:pPr>
            <w:pStyle w:val="16"/>
            <w:tabs>
              <w:tab w:val="right" w:leader="dot" w:pos="8296"/>
            </w:tabs>
            <w:rPr>
              <w:rFonts w:hint="eastAsia" w:ascii="黑体" w:hAnsi="黑体" w:eastAsia="黑体" w:cstheme="minorBidi"/>
              <w:b/>
              <w:bCs/>
              <w:sz w:val="30"/>
              <w:szCs w:val="30"/>
              <w14:ligatures w14:val="standardContextual"/>
            </w:rPr>
          </w:pPr>
          <w:r>
            <w:fldChar w:fldCharType="begin"/>
          </w:r>
          <w:r>
            <w:instrText xml:space="preserve"> HYPERLINK \l "_Toc183683956" </w:instrText>
          </w:r>
          <w:r>
            <w:fldChar w:fldCharType="separate"/>
          </w:r>
          <w:r>
            <w:rPr>
              <w:rStyle w:val="22"/>
              <w:rFonts w:hint="eastAsia" w:ascii="黑体" w:hAnsi="黑体" w:eastAsia="黑体"/>
              <w:b/>
              <w:bCs/>
              <w:sz w:val="30"/>
              <w:szCs w:val="30"/>
            </w:rPr>
            <w:t>第六节 城市商贸物流规划</w:t>
          </w:r>
          <w:r>
            <w:rPr>
              <w:rFonts w:hint="eastAsia" w:ascii="黑体" w:hAnsi="黑体" w:eastAsia="黑体"/>
              <w:b/>
              <w:bCs/>
              <w:sz w:val="30"/>
              <w:szCs w:val="30"/>
            </w:rPr>
            <w:tab/>
          </w:r>
          <w:r>
            <w:rPr>
              <w:rFonts w:hint="eastAsia" w:ascii="黑体" w:hAnsi="黑体" w:eastAsia="黑体"/>
              <w:b/>
              <w:bCs/>
              <w:sz w:val="30"/>
              <w:szCs w:val="30"/>
            </w:rPr>
            <w:fldChar w:fldCharType="begin"/>
          </w:r>
          <w:r>
            <w:rPr>
              <w:rFonts w:hint="eastAsia" w:ascii="黑体" w:hAnsi="黑体" w:eastAsia="黑体"/>
              <w:b/>
              <w:bCs/>
              <w:sz w:val="30"/>
              <w:szCs w:val="30"/>
            </w:rPr>
            <w:instrText xml:space="preserve"> </w:instrText>
          </w:r>
          <w:r>
            <w:rPr>
              <w:rFonts w:ascii="黑体" w:hAnsi="黑体" w:eastAsia="黑体"/>
              <w:b/>
              <w:bCs/>
              <w:sz w:val="30"/>
              <w:szCs w:val="30"/>
            </w:rPr>
            <w:instrText xml:space="preserve">PAGEREF _Toc183683956 \h</w:instrText>
          </w:r>
          <w:r>
            <w:rPr>
              <w:rFonts w:hint="eastAsia" w:ascii="黑体" w:hAnsi="黑体" w:eastAsia="黑体"/>
              <w:b/>
              <w:bCs/>
              <w:sz w:val="30"/>
              <w:szCs w:val="30"/>
            </w:rPr>
            <w:instrText xml:space="preserve"> </w:instrText>
          </w:r>
          <w:r>
            <w:rPr>
              <w:rFonts w:hint="eastAsia" w:ascii="黑体" w:hAnsi="黑体" w:eastAsia="黑体"/>
              <w:b/>
              <w:bCs/>
              <w:sz w:val="30"/>
              <w:szCs w:val="30"/>
            </w:rPr>
            <w:fldChar w:fldCharType="separate"/>
          </w:r>
          <w:r>
            <w:rPr>
              <w:rFonts w:hint="eastAsia" w:ascii="黑体" w:hAnsi="黑体" w:eastAsia="黑体"/>
              <w:b/>
              <w:bCs/>
              <w:sz w:val="30"/>
              <w:szCs w:val="30"/>
            </w:rPr>
            <w:t>22</w:t>
          </w:r>
          <w:r>
            <w:rPr>
              <w:rFonts w:hint="eastAsia" w:ascii="黑体" w:hAnsi="黑体" w:eastAsia="黑体"/>
              <w:b/>
              <w:bCs/>
              <w:sz w:val="30"/>
              <w:szCs w:val="30"/>
            </w:rPr>
            <w:fldChar w:fldCharType="end"/>
          </w:r>
          <w:r>
            <w:rPr>
              <w:rFonts w:hint="eastAsia" w:ascii="黑体" w:hAnsi="黑体" w:eastAsia="黑体"/>
              <w:b/>
              <w:bCs/>
              <w:sz w:val="30"/>
              <w:szCs w:val="30"/>
            </w:rPr>
            <w:fldChar w:fldCharType="end"/>
          </w:r>
        </w:p>
        <w:p>
          <w:pPr>
            <w:pStyle w:val="16"/>
            <w:tabs>
              <w:tab w:val="right" w:leader="dot" w:pos="8296"/>
            </w:tabs>
            <w:rPr>
              <w:rFonts w:hint="eastAsia" w:ascii="黑体" w:hAnsi="黑体" w:eastAsia="黑体" w:cstheme="minorBidi"/>
              <w:b/>
              <w:bCs/>
              <w:sz w:val="30"/>
              <w:szCs w:val="30"/>
              <w14:ligatures w14:val="standardContextual"/>
            </w:rPr>
          </w:pPr>
          <w:r>
            <w:fldChar w:fldCharType="begin"/>
          </w:r>
          <w:r>
            <w:instrText xml:space="preserve"> HYPERLINK \l "_Toc183683957" </w:instrText>
          </w:r>
          <w:r>
            <w:fldChar w:fldCharType="separate"/>
          </w:r>
          <w:r>
            <w:rPr>
              <w:rStyle w:val="22"/>
              <w:rFonts w:hint="eastAsia" w:ascii="黑体" w:hAnsi="黑体" w:eastAsia="黑体"/>
              <w:b/>
              <w:bCs/>
              <w:sz w:val="30"/>
              <w:szCs w:val="30"/>
            </w:rPr>
            <w:t>第七节 近期建设规划</w:t>
          </w:r>
          <w:r>
            <w:rPr>
              <w:rFonts w:hint="eastAsia" w:ascii="黑体" w:hAnsi="黑体" w:eastAsia="黑体"/>
              <w:b/>
              <w:bCs/>
              <w:sz w:val="30"/>
              <w:szCs w:val="30"/>
            </w:rPr>
            <w:tab/>
          </w:r>
          <w:r>
            <w:rPr>
              <w:rFonts w:hint="eastAsia" w:ascii="黑体" w:hAnsi="黑体" w:eastAsia="黑体"/>
              <w:b/>
              <w:bCs/>
              <w:sz w:val="30"/>
              <w:szCs w:val="30"/>
            </w:rPr>
            <w:fldChar w:fldCharType="begin"/>
          </w:r>
          <w:r>
            <w:rPr>
              <w:rFonts w:hint="eastAsia" w:ascii="黑体" w:hAnsi="黑体" w:eastAsia="黑体"/>
              <w:b/>
              <w:bCs/>
              <w:sz w:val="30"/>
              <w:szCs w:val="30"/>
            </w:rPr>
            <w:instrText xml:space="preserve"> </w:instrText>
          </w:r>
          <w:r>
            <w:rPr>
              <w:rFonts w:ascii="黑体" w:hAnsi="黑体" w:eastAsia="黑体"/>
              <w:b/>
              <w:bCs/>
              <w:sz w:val="30"/>
              <w:szCs w:val="30"/>
            </w:rPr>
            <w:instrText xml:space="preserve">PAGEREF _Toc183683957 \h</w:instrText>
          </w:r>
          <w:r>
            <w:rPr>
              <w:rFonts w:hint="eastAsia" w:ascii="黑体" w:hAnsi="黑体" w:eastAsia="黑体"/>
              <w:b/>
              <w:bCs/>
              <w:sz w:val="30"/>
              <w:szCs w:val="30"/>
            </w:rPr>
            <w:instrText xml:space="preserve"> </w:instrText>
          </w:r>
          <w:r>
            <w:rPr>
              <w:rFonts w:hint="eastAsia" w:ascii="黑体" w:hAnsi="黑体" w:eastAsia="黑体"/>
              <w:b/>
              <w:bCs/>
              <w:sz w:val="30"/>
              <w:szCs w:val="30"/>
            </w:rPr>
            <w:fldChar w:fldCharType="separate"/>
          </w:r>
          <w:r>
            <w:rPr>
              <w:rFonts w:hint="eastAsia" w:ascii="黑体" w:hAnsi="黑体" w:eastAsia="黑体"/>
              <w:b/>
              <w:bCs/>
              <w:sz w:val="30"/>
              <w:szCs w:val="30"/>
            </w:rPr>
            <w:t>25</w:t>
          </w:r>
          <w:r>
            <w:rPr>
              <w:rFonts w:hint="eastAsia" w:ascii="黑体" w:hAnsi="黑体" w:eastAsia="黑体"/>
              <w:b/>
              <w:bCs/>
              <w:sz w:val="30"/>
              <w:szCs w:val="30"/>
            </w:rPr>
            <w:fldChar w:fldCharType="end"/>
          </w:r>
          <w:r>
            <w:rPr>
              <w:rFonts w:hint="eastAsia" w:ascii="黑体" w:hAnsi="黑体" w:eastAsia="黑体"/>
              <w:b/>
              <w:bCs/>
              <w:sz w:val="30"/>
              <w:szCs w:val="30"/>
            </w:rPr>
            <w:fldChar w:fldCharType="end"/>
          </w:r>
        </w:p>
        <w:p>
          <w:pPr>
            <w:pStyle w:val="14"/>
            <w:tabs>
              <w:tab w:val="right" w:leader="dot" w:pos="8296"/>
            </w:tabs>
            <w:rPr>
              <w:rFonts w:hint="eastAsia" w:ascii="黑体" w:hAnsi="黑体" w:eastAsia="黑体" w:cstheme="minorBidi"/>
              <w:b/>
              <w:bCs/>
              <w:sz w:val="30"/>
              <w:szCs w:val="30"/>
              <w14:ligatures w14:val="standardContextual"/>
            </w:rPr>
          </w:pPr>
          <w:r>
            <w:fldChar w:fldCharType="begin"/>
          </w:r>
          <w:r>
            <w:instrText xml:space="preserve"> HYPERLINK \l "_Toc183683958" </w:instrText>
          </w:r>
          <w:r>
            <w:fldChar w:fldCharType="separate"/>
          </w:r>
          <w:r>
            <w:rPr>
              <w:rStyle w:val="22"/>
              <w:rFonts w:hint="eastAsia" w:ascii="黑体" w:hAnsi="黑体" w:eastAsia="黑体"/>
              <w:b/>
              <w:bCs/>
              <w:kern w:val="0"/>
              <w:sz w:val="30"/>
              <w:szCs w:val="30"/>
            </w:rPr>
            <w:t>第四章 规划实施保障措施</w:t>
          </w:r>
          <w:r>
            <w:rPr>
              <w:rFonts w:hint="eastAsia" w:ascii="黑体" w:hAnsi="黑体" w:eastAsia="黑体"/>
              <w:b/>
              <w:bCs/>
              <w:sz w:val="30"/>
              <w:szCs w:val="30"/>
            </w:rPr>
            <w:tab/>
          </w:r>
          <w:r>
            <w:rPr>
              <w:rFonts w:hint="eastAsia" w:ascii="黑体" w:hAnsi="黑体" w:eastAsia="黑体"/>
              <w:b/>
              <w:bCs/>
              <w:sz w:val="30"/>
              <w:szCs w:val="30"/>
            </w:rPr>
            <w:fldChar w:fldCharType="begin"/>
          </w:r>
          <w:r>
            <w:rPr>
              <w:rFonts w:hint="eastAsia" w:ascii="黑体" w:hAnsi="黑体" w:eastAsia="黑体"/>
              <w:b/>
              <w:bCs/>
              <w:sz w:val="30"/>
              <w:szCs w:val="30"/>
            </w:rPr>
            <w:instrText xml:space="preserve"> </w:instrText>
          </w:r>
          <w:r>
            <w:rPr>
              <w:rFonts w:ascii="黑体" w:hAnsi="黑体" w:eastAsia="黑体"/>
              <w:b/>
              <w:bCs/>
              <w:sz w:val="30"/>
              <w:szCs w:val="30"/>
            </w:rPr>
            <w:instrText xml:space="preserve">PAGEREF _Toc183683958 \h</w:instrText>
          </w:r>
          <w:r>
            <w:rPr>
              <w:rFonts w:hint="eastAsia" w:ascii="黑体" w:hAnsi="黑体" w:eastAsia="黑体"/>
              <w:b/>
              <w:bCs/>
              <w:sz w:val="30"/>
              <w:szCs w:val="30"/>
            </w:rPr>
            <w:instrText xml:space="preserve"> </w:instrText>
          </w:r>
          <w:r>
            <w:rPr>
              <w:rFonts w:hint="eastAsia" w:ascii="黑体" w:hAnsi="黑体" w:eastAsia="黑体"/>
              <w:b/>
              <w:bCs/>
              <w:sz w:val="30"/>
              <w:szCs w:val="30"/>
            </w:rPr>
            <w:fldChar w:fldCharType="separate"/>
          </w:r>
          <w:r>
            <w:rPr>
              <w:rFonts w:hint="eastAsia" w:ascii="黑体" w:hAnsi="黑体" w:eastAsia="黑体"/>
              <w:b/>
              <w:bCs/>
              <w:sz w:val="30"/>
              <w:szCs w:val="30"/>
            </w:rPr>
            <w:t>27</w:t>
          </w:r>
          <w:r>
            <w:rPr>
              <w:rFonts w:hint="eastAsia" w:ascii="黑体" w:hAnsi="黑体" w:eastAsia="黑体"/>
              <w:b/>
              <w:bCs/>
              <w:sz w:val="30"/>
              <w:szCs w:val="30"/>
            </w:rPr>
            <w:fldChar w:fldCharType="end"/>
          </w:r>
          <w:r>
            <w:rPr>
              <w:rFonts w:hint="eastAsia" w:ascii="黑体" w:hAnsi="黑体" w:eastAsia="黑体"/>
              <w:b/>
              <w:bCs/>
              <w:sz w:val="30"/>
              <w:szCs w:val="30"/>
            </w:rPr>
            <w:fldChar w:fldCharType="end"/>
          </w:r>
        </w:p>
        <w:p>
          <w:pPr>
            <w:rPr>
              <w:rFonts w:hint="eastAsia" w:ascii="黑体" w:hAnsi="黑体" w:eastAsia="黑体"/>
            </w:rPr>
          </w:pPr>
          <w:r>
            <w:rPr>
              <w:rFonts w:ascii="黑体" w:hAnsi="黑体" w:eastAsia="黑体"/>
              <w:b/>
              <w:bCs/>
              <w:sz w:val="30"/>
              <w:szCs w:val="30"/>
              <w:lang w:val="zh-CN"/>
            </w:rPr>
            <w:fldChar w:fldCharType="end"/>
          </w:r>
        </w:p>
      </w:sdtContent>
    </w:sdt>
    <w:p>
      <w:pPr>
        <w:pStyle w:val="55"/>
        <w:widowControl/>
        <w:spacing w:before="156" w:beforeLines="50" w:after="156" w:afterLines="50"/>
        <w:rPr>
          <w:rFonts w:ascii="Times New Roman" w:hAnsi="Times New Roman" w:cs="Times New Roman"/>
          <w:b w:val="0"/>
          <w:kern w:val="0"/>
        </w:rPr>
      </w:pPr>
      <w:r>
        <w:rPr>
          <w:rFonts w:ascii="Times New Roman" w:hAnsi="Times New Roman" w:cs="Times New Roman"/>
          <w:b w:val="0"/>
          <w:kern w:val="0"/>
        </w:rPr>
        <w:br w:type="page"/>
      </w:r>
    </w:p>
    <w:p>
      <w:pPr>
        <w:pStyle w:val="55"/>
        <w:widowControl/>
        <w:spacing w:before="156" w:beforeLines="50" w:after="156" w:afterLines="50"/>
        <w:rPr>
          <w:rFonts w:ascii="Times New Roman" w:hAnsi="Times New Roman" w:cs="Times New Roman"/>
          <w:b w:val="0"/>
          <w:kern w:val="0"/>
        </w:rPr>
        <w:sectPr>
          <w:headerReference r:id="rId4" w:type="default"/>
          <w:type w:val="continuous"/>
          <w:pgSz w:w="11906" w:h="16838"/>
          <w:pgMar w:top="1440" w:right="1800" w:bottom="1440" w:left="1800" w:header="851" w:footer="964" w:gutter="0"/>
          <w:pgNumType w:fmt="upperRoman" w:start="1"/>
          <w:cols w:space="425" w:num="1"/>
          <w:docGrid w:type="lines" w:linePitch="312" w:charSpace="0"/>
        </w:sectPr>
      </w:pPr>
    </w:p>
    <w:p>
      <w:pPr>
        <w:pStyle w:val="55"/>
        <w:widowControl/>
        <w:spacing w:before="312" w:beforeLines="100" w:after="156" w:afterLines="50"/>
        <w:rPr>
          <w:rFonts w:ascii="Times New Roman" w:hAnsi="Times New Roman" w:cs="Times New Roman"/>
          <w:b w:val="0"/>
          <w:kern w:val="0"/>
        </w:rPr>
      </w:pPr>
      <w:bookmarkStart w:id="2" w:name="_Toc183683948"/>
      <w:r>
        <w:rPr>
          <w:rFonts w:hint="eastAsia" w:ascii="Times New Roman" w:hAnsi="Times New Roman" w:cs="Times New Roman"/>
          <w:b w:val="0"/>
          <w:kern w:val="0"/>
        </w:rPr>
        <w:t>第一章 总 则</w:t>
      </w:r>
      <w:bookmarkEnd w:id="2"/>
    </w:p>
    <w:p>
      <w:pPr>
        <w:spacing w:line="560" w:lineRule="exact"/>
        <w:ind w:firstLine="602" w:firstLineChars="200"/>
        <w:rPr>
          <w:rFonts w:ascii="仿宋_GB2312" w:eastAsia="仿宋_GB2312"/>
          <w:sz w:val="30"/>
          <w:szCs w:val="30"/>
        </w:rPr>
      </w:pPr>
      <w:r>
        <w:rPr>
          <w:rFonts w:hint="eastAsia" w:ascii="仿宋_GB2312" w:eastAsia="仿宋_GB2312"/>
          <w:b/>
          <w:bCs/>
          <w:sz w:val="30"/>
          <w:szCs w:val="30"/>
        </w:rPr>
        <w:t>第一条</w:t>
      </w:r>
      <w:r>
        <w:rPr>
          <w:rFonts w:hint="eastAsia" w:ascii="仿宋_GB2312" w:eastAsia="仿宋_GB2312"/>
          <w:sz w:val="30"/>
          <w:szCs w:val="30"/>
        </w:rPr>
        <w:t xml:space="preserve"> 规划背景与目的</w:t>
      </w:r>
    </w:p>
    <w:p>
      <w:pPr>
        <w:spacing w:line="560" w:lineRule="exact"/>
        <w:ind w:firstLine="600" w:firstLineChars="200"/>
        <w:rPr>
          <w:rFonts w:hint="eastAsia" w:ascii="仿宋_GB2312" w:hAnsi="黑体" w:eastAsia="仿宋_GB2312"/>
          <w:sz w:val="30"/>
          <w:szCs w:val="30"/>
        </w:rPr>
      </w:pPr>
      <w:r>
        <w:rPr>
          <w:rFonts w:hint="eastAsia" w:ascii="仿宋_GB2312" w:hAnsi="黑体" w:eastAsia="仿宋_GB2312"/>
          <w:sz w:val="30"/>
          <w:szCs w:val="30"/>
        </w:rPr>
        <w:t>为优化城市商业布局，提升城市商业功能，根据《中共山西省委 山西省人民政府关于建立国土空间规划体系并监督实施的意见》（晋发〔2019〕35号）、《山西省国土空间规划编制工作领导小组办公室关于开展国土空间专项规划编制工作的通知》（晋国土空规办〔2022〕3号）及长治市人民政府关于全市国土空间专项规划的安排部署，长治市决定编制《长治市中心城区商业网点布局专项规划》。本规划旨在科学指导未来十几年长治市商业网点的布局和发展，满足居民日益提高的生活服务质量要求，推动城市商贸流通业持续健康发展。</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本次规划的目的包含三个方面，一是明确发展方向，对未来十余年城市商业发展进行谋划，提出发展方向和策略，做好发展留白；二是谋划重点任务，对近期发展主要问题进行分解，明确主要任务和规划空间保障；三是指导项目实施，为具体项目实施把控方向，指导专项研究与实施方案编制，促进目标实现。</w:t>
      </w:r>
    </w:p>
    <w:p>
      <w:pPr>
        <w:spacing w:line="560" w:lineRule="exact"/>
        <w:ind w:firstLine="602" w:firstLineChars="200"/>
        <w:rPr>
          <w:rFonts w:ascii="仿宋_GB2312" w:eastAsia="仿宋_GB2312"/>
          <w:sz w:val="30"/>
          <w:szCs w:val="30"/>
        </w:rPr>
      </w:pPr>
      <w:r>
        <w:rPr>
          <w:rFonts w:hint="eastAsia" w:ascii="仿宋_GB2312" w:eastAsia="仿宋_GB2312"/>
          <w:b/>
          <w:bCs/>
          <w:sz w:val="30"/>
          <w:szCs w:val="30"/>
        </w:rPr>
        <w:t>第二条</w:t>
      </w:r>
      <w:r>
        <w:rPr>
          <w:rFonts w:hint="eastAsia" w:ascii="仿宋_GB2312" w:eastAsia="仿宋_GB2312"/>
          <w:sz w:val="30"/>
          <w:szCs w:val="30"/>
        </w:rPr>
        <w:t xml:space="preserve"> 规划对象</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包含商业中心（商圈）、社区/园区商业、商业街区、商品交易市场、商贸物流。统筹研究新型业态以及商业信息化等。</w:t>
      </w:r>
    </w:p>
    <w:p>
      <w:pPr>
        <w:spacing w:line="560" w:lineRule="exact"/>
        <w:ind w:firstLine="602" w:firstLineChars="200"/>
        <w:rPr>
          <w:rFonts w:ascii="仿宋_GB2312" w:eastAsia="仿宋_GB2312"/>
          <w:sz w:val="30"/>
          <w:szCs w:val="30"/>
        </w:rPr>
      </w:pPr>
      <w:r>
        <w:rPr>
          <w:rFonts w:hint="eastAsia" w:ascii="仿宋_GB2312" w:eastAsia="仿宋_GB2312"/>
          <w:b/>
          <w:bCs/>
          <w:sz w:val="30"/>
          <w:szCs w:val="30"/>
        </w:rPr>
        <w:t>第三条</w:t>
      </w:r>
      <w:r>
        <w:rPr>
          <w:rFonts w:hint="eastAsia" w:ascii="仿宋_GB2312" w:eastAsia="仿宋_GB2312"/>
          <w:sz w:val="30"/>
          <w:szCs w:val="30"/>
        </w:rPr>
        <w:t xml:space="preserve"> 规划范围</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长治市国土空间总体规划确定的中心城区范围。</w:t>
      </w:r>
    </w:p>
    <w:p>
      <w:pPr>
        <w:spacing w:line="560" w:lineRule="exact"/>
        <w:ind w:firstLine="602" w:firstLineChars="200"/>
        <w:rPr>
          <w:rFonts w:ascii="仿宋_GB2312" w:eastAsia="仿宋_GB2312"/>
          <w:sz w:val="30"/>
          <w:szCs w:val="30"/>
        </w:rPr>
      </w:pPr>
      <w:r>
        <w:rPr>
          <w:rFonts w:hint="eastAsia" w:ascii="仿宋_GB2312" w:eastAsia="仿宋_GB2312"/>
          <w:b/>
          <w:bCs/>
          <w:sz w:val="30"/>
          <w:szCs w:val="30"/>
        </w:rPr>
        <w:t>第四条</w:t>
      </w:r>
      <w:r>
        <w:rPr>
          <w:rFonts w:hint="eastAsia" w:ascii="仿宋_GB2312" w:eastAsia="仿宋_GB2312"/>
          <w:sz w:val="30"/>
          <w:szCs w:val="30"/>
        </w:rPr>
        <w:t xml:space="preserve"> 规划期限</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2021年至2035年，其中近期到2025年。</w:t>
      </w:r>
    </w:p>
    <w:p>
      <w:pPr>
        <w:spacing w:line="560" w:lineRule="exact"/>
        <w:ind w:firstLine="602" w:firstLineChars="200"/>
        <w:rPr>
          <w:rFonts w:ascii="仿宋_GB2312" w:eastAsia="仿宋_GB2312"/>
          <w:sz w:val="30"/>
          <w:szCs w:val="30"/>
        </w:rPr>
      </w:pPr>
      <w:r>
        <w:rPr>
          <w:rFonts w:hint="eastAsia" w:ascii="仿宋_GB2312" w:eastAsia="仿宋_GB2312"/>
          <w:b/>
          <w:bCs/>
          <w:sz w:val="30"/>
          <w:szCs w:val="30"/>
        </w:rPr>
        <w:t>第五条</w:t>
      </w:r>
      <w:r>
        <w:rPr>
          <w:rFonts w:hint="eastAsia" w:ascii="仿宋_GB2312" w:eastAsia="仿宋_GB2312"/>
          <w:sz w:val="30"/>
          <w:szCs w:val="30"/>
        </w:rPr>
        <w:t xml:space="preserve"> 规划依据</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1．《中华人民共和国城乡规划法》（2019年修正）</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2．《城市商业网点规划编制规范》（商建发[2004]180号）</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3．《关于加快发展流通促进商业消费的意见》（国发办[2019]42 号）</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4．《国务院办公厅关于进一步释放消费潜力促进消费持续恢复的意见》(国办发〔2022〕9号)</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5．中共中央 国务院《扩大内需战略规划纲要（2022－2035年）》</w:t>
      </w:r>
    </w:p>
    <w:p>
      <w:pPr>
        <w:spacing w:line="560" w:lineRule="exact"/>
        <w:ind w:firstLine="600" w:firstLineChars="200"/>
        <w:rPr>
          <w:rFonts w:hint="eastAsia" w:ascii="仿宋_GB2312" w:hAnsi="仿宋_GB2312" w:eastAsia="仿宋_GB2312" w:cs="仿宋_GB2312"/>
          <w:sz w:val="30"/>
          <w:szCs w:val="30"/>
        </w:rPr>
      </w:pPr>
      <w:r>
        <w:rPr>
          <w:rFonts w:hint="eastAsia" w:ascii="仿宋_GB2312" w:eastAsia="仿宋_GB2312"/>
          <w:sz w:val="30"/>
          <w:szCs w:val="30"/>
        </w:rPr>
        <w:t>6．《长治市国民经济和社会发展第十四个五年规划和2035年远景目标纲要</w:t>
      </w:r>
      <w:r>
        <w:rPr>
          <w:rFonts w:hint="eastAsia" w:ascii="仿宋_GB2312" w:hAnsi="仿宋_GB2312" w:eastAsia="仿宋_GB2312" w:cs="仿宋_GB2312"/>
          <w:sz w:val="30"/>
          <w:szCs w:val="30"/>
        </w:rPr>
        <w:t>》</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7．《长治市国土空间总体规划（2021—2035年》</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8．《潞州区国土空间总体规划（2021—2035年》</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9．《潞城区国土空间总体规划（2021—2035年》</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10．《上党区国土空间总体规划（2021—2035年》</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11．《屯留区国土空间总体规划（2021—2035年》</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12．长治市历年统计年鉴</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13．《城市居住区规划设计标准》（GB50180-2018）</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14．其他相关专项规划及技术规范</w:t>
      </w:r>
    </w:p>
    <w:p>
      <w:pPr>
        <w:pStyle w:val="55"/>
        <w:widowControl/>
        <w:spacing w:before="312" w:beforeLines="100" w:after="156" w:afterLines="50"/>
        <w:rPr>
          <w:rFonts w:ascii="Times New Roman" w:hAnsi="Times New Roman" w:cs="Times New Roman"/>
          <w:b w:val="0"/>
          <w:kern w:val="0"/>
        </w:rPr>
      </w:pPr>
      <w:bookmarkStart w:id="3" w:name="_Toc183683949"/>
      <w:r>
        <w:rPr>
          <w:rFonts w:hint="eastAsia" w:ascii="Times New Roman" w:hAnsi="Times New Roman" w:cs="Times New Roman"/>
          <w:b w:val="0"/>
          <w:kern w:val="0"/>
        </w:rPr>
        <w:t>第二章 指导思想与发展定位</w:t>
      </w:r>
      <w:bookmarkEnd w:id="3"/>
    </w:p>
    <w:p>
      <w:pPr>
        <w:spacing w:line="560" w:lineRule="exact"/>
        <w:ind w:firstLine="602" w:firstLineChars="200"/>
        <w:rPr>
          <w:rFonts w:ascii="仿宋_GB2312" w:eastAsia="仿宋_GB2312"/>
          <w:sz w:val="30"/>
          <w:szCs w:val="30"/>
        </w:rPr>
      </w:pPr>
      <w:r>
        <w:rPr>
          <w:rFonts w:hint="eastAsia" w:ascii="仿宋_GB2312" w:eastAsia="仿宋_GB2312"/>
          <w:b/>
          <w:bCs/>
          <w:sz w:val="30"/>
          <w:szCs w:val="30"/>
        </w:rPr>
        <w:t>第六条</w:t>
      </w:r>
      <w:r>
        <w:rPr>
          <w:rFonts w:hint="eastAsia" w:ascii="仿宋_GB2312" w:eastAsia="仿宋_GB2312"/>
          <w:sz w:val="30"/>
          <w:szCs w:val="30"/>
        </w:rPr>
        <w:t xml:space="preserve"> 规划指导思想</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以习近平新时代中国特色社会主义思想为指导，全面贯彻落实党的二十大精神和习近平总书记对山西工作的重要讲话重要指示精神，完整、准确、全面贯彻新发展理念，着力推进高质量发展，深入贯彻以人民为中心的发展要求，以满足人民日益增长的美好生活需要为根本目的，通过合理布局商业网点，优化商业结构，创新商业模式，全面提升长治市商贸流通业现代化水平，构建长治市商业发展新格局。牢牢把握扩大内需战略基点，加快培育完整的城市消费供给体系，着力推动商业服务高质量发展，为全面建设</w:t>
      </w:r>
      <w:r>
        <w:rPr>
          <w:rFonts w:ascii="仿宋_GB2312" w:eastAsia="仿宋_GB2312"/>
          <w:sz w:val="30"/>
          <w:szCs w:val="30"/>
        </w:rPr>
        <w:t>太行山水文化名城和晋东南区域中心城市</w:t>
      </w:r>
      <w:r>
        <w:rPr>
          <w:rFonts w:hint="eastAsia" w:ascii="仿宋_GB2312" w:eastAsia="仿宋_GB2312"/>
          <w:sz w:val="30"/>
          <w:szCs w:val="30"/>
        </w:rPr>
        <w:t>形成有力支撑。</w:t>
      </w:r>
    </w:p>
    <w:p>
      <w:pPr>
        <w:spacing w:line="560" w:lineRule="exact"/>
        <w:ind w:firstLine="602" w:firstLineChars="200"/>
        <w:rPr>
          <w:rFonts w:ascii="仿宋_GB2312" w:eastAsia="仿宋_GB2312"/>
          <w:sz w:val="30"/>
          <w:szCs w:val="30"/>
        </w:rPr>
      </w:pPr>
      <w:r>
        <w:rPr>
          <w:rFonts w:hint="eastAsia" w:ascii="仿宋_GB2312" w:eastAsia="仿宋_GB2312"/>
          <w:b/>
          <w:bCs/>
          <w:sz w:val="30"/>
          <w:szCs w:val="30"/>
        </w:rPr>
        <w:t>第七条</w:t>
      </w:r>
      <w:r>
        <w:rPr>
          <w:rFonts w:hint="eastAsia" w:ascii="仿宋_GB2312" w:eastAsia="仿宋_GB2312"/>
          <w:sz w:val="30"/>
          <w:szCs w:val="30"/>
        </w:rPr>
        <w:t xml:space="preserve"> 规划原则</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一、市场优先原则</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在市场经济条件下，资源配置主要依靠市场机制来实现。因此，在制定商业网点规划时，要充分发挥市场在资源配置中的决定性作用，避免过度干预。同时，要关注市场动态，及时调整规划策略以满足市场需求。此外，还要注重公平竞争环境的营造，防止垄断行为的发生。</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二、统筹城乡发展原则</w:t>
      </w:r>
    </w:p>
    <w:p>
      <w:pPr>
        <w:spacing w:line="560" w:lineRule="exact"/>
        <w:ind w:firstLine="600" w:firstLineChars="200"/>
        <w:rPr>
          <w:rFonts w:ascii="仿宋_GB2312" w:eastAsia="仿宋_GB2312"/>
          <w:sz w:val="30"/>
          <w:szCs w:val="30"/>
        </w:rPr>
      </w:pPr>
      <w:bookmarkStart w:id="4" w:name="_Hlk184046994"/>
      <w:r>
        <w:rPr>
          <w:rFonts w:hint="eastAsia" w:ascii="仿宋_GB2312" w:eastAsia="仿宋_GB2312"/>
          <w:sz w:val="30"/>
          <w:szCs w:val="30"/>
        </w:rPr>
        <w:t>兼顾城区与乡镇之间的发展差异，根据各地区的具体条件制定差异化策略。对于城市中心区域而言，重点在于优化现有商业设施布局并引入更多高端品牌和服务；而对于郊区及乡镇地带，则需在满足居民消费需求的基础上，引导流通基础设施的建设投入，支撑本地特色产业成长壮大。</w:t>
      </w:r>
    </w:p>
    <w:bookmarkEnd w:id="4"/>
    <w:p>
      <w:pPr>
        <w:spacing w:line="560" w:lineRule="exact"/>
        <w:ind w:firstLine="600" w:firstLineChars="200"/>
        <w:rPr>
          <w:rFonts w:ascii="仿宋_GB2312" w:eastAsia="仿宋_GB2312"/>
          <w:sz w:val="30"/>
          <w:szCs w:val="30"/>
        </w:rPr>
      </w:pPr>
      <w:r>
        <w:rPr>
          <w:rFonts w:hint="eastAsia" w:ascii="仿宋_GB2312" w:eastAsia="仿宋_GB2312"/>
          <w:sz w:val="30"/>
          <w:szCs w:val="30"/>
        </w:rPr>
        <w:t>三、坚持创新发展原则</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鼓励商业模式与技术创新是推动传统商贸向现代商贸转变的重要途径之一。长治市应充分利用自身优势资源吸引外部投资和技术人才入驻，并通过举办各类创新创业大赛等形式激发社会各界参与热情；同时也可以搭建平台促进企业间交流合作从而加速科技成果转化为现实生产力。此外还可以考虑设立专项基金用于支持初创企业发展以及给予税收减免等优惠政策以降低创业门槛吸引更多年轻人投身于此领域之中。</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四、可持续发展原则</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环境保护与经济发展并不矛盾而是相辅相成的关系。在推进商业网点建设过程中必须严格遵守相关法律法规要求做到绿色低碳环保运营。比如推广使用节能灯具、太阳能发电系统等清洁能源设备减少碳排放量；采用雨水收集再利用系统节约用水成本同时也有利于改善当地生态环境质量。另外还可以通过植树造林等方式增加绿化面积提高空气质量让市民享受到更加舒适的生活环境。</w:t>
      </w:r>
    </w:p>
    <w:p>
      <w:pPr>
        <w:spacing w:line="560" w:lineRule="exact"/>
        <w:ind w:firstLine="602" w:firstLineChars="200"/>
        <w:rPr>
          <w:rFonts w:ascii="仿宋_GB2312" w:eastAsia="仿宋_GB2312"/>
          <w:sz w:val="30"/>
          <w:szCs w:val="30"/>
        </w:rPr>
      </w:pPr>
      <w:r>
        <w:rPr>
          <w:rFonts w:hint="eastAsia" w:ascii="仿宋_GB2312" w:eastAsia="仿宋_GB2312"/>
          <w:b/>
          <w:bCs/>
          <w:sz w:val="30"/>
          <w:szCs w:val="30"/>
        </w:rPr>
        <w:t>第八条</w:t>
      </w:r>
      <w:r>
        <w:rPr>
          <w:rFonts w:hint="eastAsia" w:ascii="仿宋_GB2312" w:eastAsia="仿宋_GB2312"/>
          <w:sz w:val="30"/>
          <w:szCs w:val="30"/>
        </w:rPr>
        <w:t xml:space="preserve"> 发展定位</w:t>
      </w:r>
    </w:p>
    <w:p>
      <w:pPr>
        <w:widowControl/>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结合上位规划对</w:t>
      </w:r>
      <w:r>
        <w:rPr>
          <w:rFonts w:hint="eastAsia" w:ascii="Times New Roman" w:hAnsi="Times New Roman" w:eastAsia="仿宋_GB2312"/>
          <w:sz w:val="30"/>
          <w:szCs w:val="30"/>
        </w:rPr>
        <w:t>长治</w:t>
      </w:r>
      <w:r>
        <w:rPr>
          <w:rFonts w:ascii="Times New Roman" w:hAnsi="Times New Roman" w:eastAsia="仿宋_GB2312"/>
          <w:sz w:val="30"/>
          <w:szCs w:val="30"/>
        </w:rPr>
        <w:t>市的</w:t>
      </w:r>
      <w:r>
        <w:rPr>
          <w:rFonts w:hint="eastAsia" w:ascii="Times New Roman" w:hAnsi="Times New Roman" w:eastAsia="仿宋_GB2312"/>
          <w:sz w:val="30"/>
          <w:szCs w:val="30"/>
        </w:rPr>
        <w:t>“全国老工业城市和资源型城市产业转型升级示范区、太行山水文化名城和晋东南区域中心城市”的</w:t>
      </w:r>
      <w:r>
        <w:rPr>
          <w:rFonts w:ascii="Times New Roman" w:hAnsi="Times New Roman" w:eastAsia="仿宋_GB2312"/>
          <w:sz w:val="30"/>
          <w:szCs w:val="30"/>
        </w:rPr>
        <w:t>总体定位、区域竞争力分析、城市特点分析，基于</w:t>
      </w:r>
      <w:r>
        <w:rPr>
          <w:rFonts w:hint="eastAsia" w:ascii="Times New Roman" w:hAnsi="Times New Roman" w:eastAsia="仿宋_GB2312"/>
          <w:sz w:val="30"/>
          <w:szCs w:val="30"/>
        </w:rPr>
        <w:t>长治</w:t>
      </w:r>
      <w:r>
        <w:rPr>
          <w:rFonts w:ascii="Times New Roman" w:hAnsi="Times New Roman" w:eastAsia="仿宋_GB2312"/>
          <w:sz w:val="30"/>
          <w:szCs w:val="30"/>
        </w:rPr>
        <w:t>市建设</w:t>
      </w:r>
      <w:r>
        <w:rPr>
          <w:rFonts w:hint="eastAsia" w:ascii="Times New Roman" w:hAnsi="Times New Roman" w:eastAsia="仿宋_GB2312"/>
          <w:sz w:val="30"/>
          <w:szCs w:val="30"/>
        </w:rPr>
        <w:t>省域副中心的目标</w:t>
      </w:r>
      <w:r>
        <w:rPr>
          <w:rFonts w:ascii="Times New Roman" w:hAnsi="Times New Roman" w:eastAsia="仿宋_GB2312"/>
          <w:sz w:val="30"/>
          <w:szCs w:val="30"/>
        </w:rPr>
        <w:t>，立足国际国内消费市场，</w:t>
      </w:r>
      <w:r>
        <w:rPr>
          <w:rFonts w:hint="eastAsia" w:ascii="Times New Roman" w:hAnsi="Times New Roman" w:eastAsia="仿宋_GB2312"/>
          <w:sz w:val="30"/>
          <w:szCs w:val="30"/>
        </w:rPr>
        <w:t>确定长治</w:t>
      </w:r>
      <w:r>
        <w:rPr>
          <w:rFonts w:ascii="Times New Roman" w:hAnsi="Times New Roman" w:eastAsia="仿宋_GB2312"/>
          <w:sz w:val="30"/>
          <w:szCs w:val="30"/>
        </w:rPr>
        <w:t>市商业定位为：</w:t>
      </w:r>
    </w:p>
    <w:p>
      <w:pPr>
        <w:widowControl/>
        <w:spacing w:line="560" w:lineRule="exact"/>
        <w:ind w:firstLine="602" w:firstLineChars="200"/>
        <w:rPr>
          <w:rFonts w:ascii="Times New Roman" w:hAnsi="Times New Roman" w:eastAsia="黑体"/>
          <w:b/>
          <w:bCs/>
          <w:sz w:val="30"/>
          <w:szCs w:val="30"/>
        </w:rPr>
      </w:pPr>
      <w:r>
        <w:rPr>
          <w:rFonts w:ascii="Times New Roman" w:hAnsi="Times New Roman" w:eastAsia="黑体"/>
          <w:b/>
          <w:bCs/>
          <w:sz w:val="30"/>
          <w:szCs w:val="30"/>
        </w:rPr>
        <w:t>时尚、智慧的</w:t>
      </w:r>
      <w:r>
        <w:rPr>
          <w:rFonts w:hint="eastAsia" w:ascii="Times New Roman" w:hAnsi="Times New Roman" w:eastAsia="黑体"/>
          <w:b/>
          <w:bCs/>
          <w:sz w:val="30"/>
          <w:szCs w:val="30"/>
        </w:rPr>
        <w:t>晋冀豫区域消费</w:t>
      </w:r>
      <w:r>
        <w:rPr>
          <w:rFonts w:ascii="Times New Roman" w:hAnsi="Times New Roman" w:eastAsia="黑体"/>
          <w:b/>
          <w:bCs/>
          <w:sz w:val="30"/>
          <w:szCs w:val="30"/>
        </w:rPr>
        <w:t>中心城市，</w:t>
      </w:r>
      <w:r>
        <w:rPr>
          <w:rFonts w:hint="eastAsia" w:ascii="Times New Roman" w:hAnsi="Times New Roman" w:eastAsia="黑体"/>
          <w:b/>
          <w:bCs/>
          <w:sz w:val="30"/>
          <w:szCs w:val="30"/>
        </w:rPr>
        <w:t>商旅文融合发展的多彩太行名</w:t>
      </w:r>
      <w:r>
        <w:rPr>
          <w:rFonts w:ascii="Times New Roman" w:hAnsi="Times New Roman" w:eastAsia="黑体"/>
          <w:b/>
          <w:bCs/>
          <w:sz w:val="30"/>
          <w:szCs w:val="30"/>
        </w:rPr>
        <w:t>城，高效、便捷的现代化</w:t>
      </w:r>
      <w:r>
        <w:rPr>
          <w:rFonts w:hint="eastAsia" w:ascii="Times New Roman" w:hAnsi="Times New Roman" w:eastAsia="黑体"/>
          <w:b/>
          <w:bCs/>
          <w:sz w:val="30"/>
          <w:szCs w:val="30"/>
        </w:rPr>
        <w:t>区域</w:t>
      </w:r>
      <w:r>
        <w:rPr>
          <w:rFonts w:ascii="Times New Roman" w:hAnsi="Times New Roman" w:eastAsia="黑体"/>
          <w:b/>
          <w:bCs/>
          <w:sz w:val="30"/>
          <w:szCs w:val="30"/>
        </w:rPr>
        <w:t>商贸</w:t>
      </w:r>
      <w:r>
        <w:rPr>
          <w:rFonts w:hint="eastAsia" w:ascii="Times New Roman" w:hAnsi="Times New Roman" w:eastAsia="黑体"/>
          <w:b/>
          <w:bCs/>
          <w:sz w:val="30"/>
          <w:szCs w:val="30"/>
        </w:rPr>
        <w:t>物流枢纽</w:t>
      </w:r>
      <w:r>
        <w:rPr>
          <w:rFonts w:ascii="Times New Roman" w:hAnsi="Times New Roman" w:eastAsia="黑体"/>
          <w:b/>
          <w:bCs/>
          <w:sz w:val="30"/>
          <w:szCs w:val="30"/>
        </w:rPr>
        <w:t>。</w:t>
      </w:r>
    </w:p>
    <w:p>
      <w:pPr>
        <w:spacing w:line="560" w:lineRule="exact"/>
        <w:ind w:firstLine="602" w:firstLineChars="200"/>
        <w:rPr>
          <w:rFonts w:hint="eastAsia" w:ascii="仿宋_GB2312" w:hAnsi="黑体" w:eastAsia="仿宋_GB2312"/>
          <w:sz w:val="30"/>
          <w:szCs w:val="30"/>
        </w:rPr>
      </w:pPr>
      <w:r>
        <w:rPr>
          <w:rFonts w:hint="eastAsia" w:ascii="仿宋_GB2312" w:hAnsi="黑体" w:eastAsia="仿宋_GB2312"/>
          <w:b/>
          <w:bCs/>
          <w:sz w:val="30"/>
          <w:szCs w:val="30"/>
        </w:rPr>
        <w:t xml:space="preserve">第九条 </w:t>
      </w:r>
      <w:r>
        <w:rPr>
          <w:rFonts w:hint="eastAsia" w:ascii="仿宋_GB2312" w:hAnsi="黑体" w:eastAsia="仿宋_GB2312"/>
          <w:sz w:val="30"/>
          <w:szCs w:val="30"/>
        </w:rPr>
        <w:t>发展战略</w:t>
      </w:r>
    </w:p>
    <w:p>
      <w:pPr>
        <w:spacing w:line="560" w:lineRule="exact"/>
        <w:ind w:firstLine="600" w:firstLineChars="200"/>
        <w:rPr>
          <w:rFonts w:ascii="仿宋_GB2312" w:eastAsia="仿宋_GB2312"/>
          <w:sz w:val="30"/>
          <w:szCs w:val="30"/>
        </w:rPr>
      </w:pPr>
      <w:bookmarkStart w:id="5" w:name="_Toc183613725"/>
      <w:r>
        <w:rPr>
          <w:rFonts w:hint="eastAsia" w:ascii="仿宋_GB2312" w:eastAsia="仿宋_GB2312"/>
          <w:sz w:val="30"/>
          <w:szCs w:val="30"/>
        </w:rPr>
        <w:t>一、瞄准区域消费中心城市定位，提升商业品质</w:t>
      </w:r>
      <w:bookmarkEnd w:id="5"/>
    </w:p>
    <w:p>
      <w:pPr>
        <w:widowControl/>
        <w:spacing w:line="560" w:lineRule="exact"/>
        <w:ind w:firstLine="600" w:firstLineChars="200"/>
        <w:rPr>
          <w:rFonts w:ascii="Times New Roman" w:hAnsi="Times New Roman" w:eastAsia="仿宋_GB2312"/>
          <w:kern w:val="0"/>
          <w:sz w:val="30"/>
          <w:szCs w:val="30"/>
        </w:rPr>
      </w:pPr>
      <w:r>
        <w:rPr>
          <w:rFonts w:ascii="Times New Roman" w:hAnsi="Times New Roman" w:eastAsia="仿宋_GB2312"/>
          <w:kern w:val="0"/>
          <w:sz w:val="30"/>
          <w:szCs w:val="30"/>
        </w:rPr>
        <w:t>充分利用</w:t>
      </w:r>
      <w:r>
        <w:rPr>
          <w:rFonts w:hint="eastAsia" w:ascii="Times New Roman" w:hAnsi="Times New Roman" w:eastAsia="仿宋_GB2312"/>
          <w:kern w:val="0"/>
          <w:sz w:val="30"/>
          <w:szCs w:val="30"/>
        </w:rPr>
        <w:t>长治</w:t>
      </w:r>
      <w:r>
        <w:rPr>
          <w:rFonts w:ascii="Times New Roman" w:hAnsi="Times New Roman" w:eastAsia="仿宋_GB2312"/>
          <w:kern w:val="0"/>
          <w:sz w:val="30"/>
          <w:szCs w:val="30"/>
        </w:rPr>
        <w:t>作为</w:t>
      </w:r>
      <w:r>
        <w:rPr>
          <w:rFonts w:hint="eastAsia" w:ascii="Times New Roman" w:hAnsi="Times New Roman" w:eastAsia="仿宋_GB2312"/>
          <w:kern w:val="0"/>
          <w:sz w:val="30"/>
          <w:szCs w:val="30"/>
        </w:rPr>
        <w:t>省域副中心城市和山西</w:t>
      </w:r>
      <w:r>
        <w:rPr>
          <w:rFonts w:ascii="Times New Roman" w:hAnsi="Times New Roman" w:eastAsia="仿宋_GB2312"/>
          <w:kern w:val="0"/>
          <w:sz w:val="30"/>
          <w:szCs w:val="30"/>
        </w:rPr>
        <w:t>对</w:t>
      </w:r>
      <w:r>
        <w:rPr>
          <w:rFonts w:hint="eastAsia" w:ascii="Times New Roman" w:hAnsi="Times New Roman" w:eastAsia="仿宋_GB2312"/>
          <w:kern w:val="0"/>
          <w:sz w:val="30"/>
          <w:szCs w:val="30"/>
        </w:rPr>
        <w:t>接中原城市群</w:t>
      </w:r>
      <w:r>
        <w:rPr>
          <w:rFonts w:ascii="Times New Roman" w:hAnsi="Times New Roman" w:eastAsia="仿宋_GB2312"/>
          <w:kern w:val="0"/>
          <w:sz w:val="30"/>
          <w:szCs w:val="30"/>
        </w:rPr>
        <w:t>的门户优势，提高商品、服务供给能力，引进国际</w:t>
      </w:r>
      <w:r>
        <w:rPr>
          <w:rFonts w:hint="eastAsia" w:ascii="Times New Roman" w:hAnsi="Times New Roman" w:eastAsia="仿宋_GB2312"/>
          <w:kern w:val="0"/>
          <w:sz w:val="30"/>
          <w:szCs w:val="30"/>
        </w:rPr>
        <w:t>国内</w:t>
      </w:r>
      <w:r>
        <w:rPr>
          <w:rFonts w:ascii="Times New Roman" w:hAnsi="Times New Roman" w:eastAsia="仿宋_GB2312"/>
          <w:kern w:val="0"/>
          <w:sz w:val="30"/>
          <w:szCs w:val="30"/>
        </w:rPr>
        <w:t>知名品牌首店和旗舰店，加强培育基于新技术、新理念、新模式、新需求的新型业态，努力提升针对零售、餐饮、文旅服务、供应链等领域企业入驻</w:t>
      </w:r>
      <w:r>
        <w:rPr>
          <w:rFonts w:hint="eastAsia" w:ascii="Times New Roman" w:hAnsi="Times New Roman" w:eastAsia="仿宋_GB2312"/>
          <w:kern w:val="0"/>
          <w:sz w:val="30"/>
          <w:szCs w:val="30"/>
        </w:rPr>
        <w:t>与</w:t>
      </w:r>
      <w:r>
        <w:rPr>
          <w:rFonts w:ascii="Times New Roman" w:hAnsi="Times New Roman" w:eastAsia="仿宋_GB2312"/>
          <w:kern w:val="0"/>
          <w:sz w:val="30"/>
          <w:szCs w:val="30"/>
        </w:rPr>
        <w:t>发展的公平、友好、便利的营商环境，形成强大的区域消费影响力和</w:t>
      </w:r>
      <w:r>
        <w:rPr>
          <w:rFonts w:hint="eastAsia" w:ascii="Times New Roman" w:hAnsi="Times New Roman" w:eastAsia="仿宋_GB2312"/>
          <w:kern w:val="0"/>
          <w:sz w:val="30"/>
          <w:szCs w:val="30"/>
        </w:rPr>
        <w:t>品质</w:t>
      </w:r>
      <w:r>
        <w:rPr>
          <w:rFonts w:ascii="Times New Roman" w:hAnsi="Times New Roman" w:eastAsia="仿宋_GB2312"/>
          <w:kern w:val="0"/>
          <w:sz w:val="30"/>
          <w:szCs w:val="30"/>
        </w:rPr>
        <w:t>化的商业消费环境。</w:t>
      </w:r>
    </w:p>
    <w:p>
      <w:pPr>
        <w:spacing w:line="560" w:lineRule="exact"/>
        <w:ind w:firstLine="600" w:firstLineChars="200"/>
        <w:rPr>
          <w:rFonts w:ascii="仿宋_GB2312" w:eastAsia="仿宋_GB2312"/>
          <w:sz w:val="30"/>
          <w:szCs w:val="30"/>
        </w:rPr>
      </w:pPr>
      <w:bookmarkStart w:id="6" w:name="_Toc183613726"/>
      <w:r>
        <w:rPr>
          <w:rFonts w:hint="eastAsia" w:ascii="仿宋_GB2312" w:eastAsia="仿宋_GB2312"/>
          <w:sz w:val="30"/>
          <w:szCs w:val="30"/>
        </w:rPr>
        <w:t>二、彰显底蕴，推动商旅文融合发展打造标志性商业</w:t>
      </w:r>
      <w:bookmarkEnd w:id="6"/>
    </w:p>
    <w:p>
      <w:pPr>
        <w:widowControl/>
        <w:spacing w:line="560" w:lineRule="exact"/>
        <w:ind w:firstLine="600" w:firstLineChars="200"/>
        <w:rPr>
          <w:rFonts w:ascii="Times New Roman" w:hAnsi="Times New Roman" w:eastAsia="仿宋_GB2312"/>
          <w:kern w:val="0"/>
          <w:sz w:val="30"/>
          <w:szCs w:val="30"/>
        </w:rPr>
      </w:pPr>
      <w:r>
        <w:rPr>
          <w:rFonts w:hint="eastAsia" w:ascii="Times New Roman" w:hAnsi="Times New Roman" w:eastAsia="仿宋_GB2312"/>
          <w:kern w:val="0"/>
          <w:sz w:val="30"/>
          <w:szCs w:val="30"/>
        </w:rPr>
        <w:t>结合</w:t>
      </w:r>
      <w:r>
        <w:rPr>
          <w:rFonts w:ascii="Times New Roman" w:hAnsi="Times New Roman" w:eastAsia="仿宋_GB2312"/>
          <w:kern w:val="0"/>
          <w:sz w:val="30"/>
          <w:szCs w:val="30"/>
        </w:rPr>
        <w:t>城市功能布局调整、城</w:t>
      </w:r>
      <w:r>
        <w:rPr>
          <w:rFonts w:hint="eastAsia" w:ascii="Times New Roman" w:hAnsi="Times New Roman" w:eastAsia="仿宋_GB2312"/>
          <w:kern w:val="0"/>
          <w:sz w:val="30"/>
          <w:szCs w:val="30"/>
        </w:rPr>
        <w:t>市</w:t>
      </w:r>
      <w:r>
        <w:rPr>
          <w:rFonts w:ascii="Times New Roman" w:hAnsi="Times New Roman" w:eastAsia="仿宋_GB2312"/>
          <w:kern w:val="0"/>
          <w:sz w:val="30"/>
          <w:szCs w:val="30"/>
        </w:rPr>
        <w:t>更新、历史文化保护与城市消费功能区的现代化改造，加快推进</w:t>
      </w:r>
      <w:r>
        <w:rPr>
          <w:rFonts w:hint="eastAsia" w:ascii="Times New Roman" w:hAnsi="Times New Roman" w:eastAsia="仿宋_GB2312"/>
          <w:kern w:val="0"/>
          <w:sz w:val="30"/>
          <w:szCs w:val="30"/>
        </w:rPr>
        <w:t>城隍庙</w:t>
      </w:r>
      <w:r>
        <w:rPr>
          <w:rFonts w:ascii="Times New Roman" w:hAnsi="Times New Roman" w:eastAsia="仿宋_GB2312"/>
          <w:kern w:val="0"/>
          <w:sz w:val="30"/>
          <w:szCs w:val="30"/>
        </w:rPr>
        <w:t>商圈</w:t>
      </w:r>
      <w:r>
        <w:rPr>
          <w:rFonts w:hint="eastAsia" w:ascii="Times New Roman" w:hAnsi="Times New Roman" w:eastAsia="仿宋_GB2312"/>
          <w:kern w:val="0"/>
          <w:sz w:val="30"/>
          <w:szCs w:val="30"/>
        </w:rPr>
        <w:t>、新市街商圈、获壁街商圈等城市原生商圈</w:t>
      </w:r>
      <w:r>
        <w:rPr>
          <w:rFonts w:ascii="Times New Roman" w:hAnsi="Times New Roman" w:eastAsia="仿宋_GB2312"/>
          <w:kern w:val="0"/>
          <w:sz w:val="30"/>
          <w:szCs w:val="30"/>
        </w:rPr>
        <w:t>的改造和复兴</w:t>
      </w:r>
      <w:r>
        <w:rPr>
          <w:rFonts w:hint="eastAsia" w:ascii="Times New Roman" w:hAnsi="Times New Roman" w:eastAsia="仿宋_GB2312"/>
          <w:kern w:val="0"/>
          <w:sz w:val="30"/>
          <w:szCs w:val="30"/>
        </w:rPr>
        <w:t>，</w:t>
      </w:r>
      <w:r>
        <w:rPr>
          <w:rFonts w:ascii="Times New Roman" w:hAnsi="Times New Roman" w:eastAsia="仿宋_GB2312"/>
          <w:kern w:val="0"/>
          <w:sz w:val="30"/>
          <w:szCs w:val="30"/>
        </w:rPr>
        <w:t>优化商圈交通组织和用地布局，提升商圈环境品质，</w:t>
      </w:r>
      <w:r>
        <w:rPr>
          <w:rFonts w:hint="eastAsia" w:ascii="Times New Roman" w:hAnsi="Times New Roman" w:eastAsia="仿宋_GB2312"/>
          <w:kern w:val="0"/>
          <w:sz w:val="30"/>
          <w:szCs w:val="30"/>
        </w:rPr>
        <w:t>打造长治标志性商圈</w:t>
      </w:r>
      <w:r>
        <w:rPr>
          <w:rFonts w:ascii="Times New Roman" w:hAnsi="Times New Roman" w:eastAsia="仿宋_GB2312"/>
          <w:kern w:val="0"/>
          <w:sz w:val="30"/>
          <w:szCs w:val="30"/>
        </w:rPr>
        <w:t>。结合</w:t>
      </w:r>
      <w:r>
        <w:rPr>
          <w:rFonts w:hint="eastAsia" w:ascii="Times New Roman" w:hAnsi="Times New Roman" w:eastAsia="仿宋_GB2312"/>
          <w:kern w:val="0"/>
          <w:sz w:val="30"/>
          <w:szCs w:val="30"/>
        </w:rPr>
        <w:t>观音堂</w:t>
      </w:r>
      <w:r>
        <w:rPr>
          <w:rFonts w:ascii="Times New Roman" w:hAnsi="Times New Roman" w:eastAsia="仿宋_GB2312"/>
          <w:kern w:val="0"/>
          <w:sz w:val="30"/>
          <w:szCs w:val="30"/>
        </w:rPr>
        <w:t>、</w:t>
      </w:r>
      <w:r>
        <w:rPr>
          <w:rFonts w:hint="eastAsia" w:ascii="Times New Roman" w:hAnsi="Times New Roman" w:eastAsia="仿宋_GB2312"/>
          <w:kern w:val="0"/>
          <w:sz w:val="30"/>
          <w:szCs w:val="30"/>
        </w:rPr>
        <w:t>上党门北侧</w:t>
      </w:r>
      <w:r>
        <w:rPr>
          <w:rFonts w:ascii="Times New Roman" w:hAnsi="Times New Roman" w:eastAsia="仿宋_GB2312"/>
          <w:kern w:val="0"/>
          <w:sz w:val="30"/>
          <w:szCs w:val="30"/>
        </w:rPr>
        <w:t>等历史</w:t>
      </w:r>
      <w:r>
        <w:rPr>
          <w:rFonts w:hint="eastAsia" w:ascii="Times New Roman" w:hAnsi="Times New Roman" w:eastAsia="仿宋_GB2312"/>
          <w:kern w:val="0"/>
          <w:sz w:val="30"/>
          <w:szCs w:val="30"/>
        </w:rPr>
        <w:t>地段</w:t>
      </w:r>
      <w:r>
        <w:rPr>
          <w:rFonts w:ascii="Times New Roman" w:hAnsi="Times New Roman" w:eastAsia="仿宋_GB2312"/>
          <w:kern w:val="0"/>
          <w:sz w:val="30"/>
          <w:szCs w:val="30"/>
        </w:rPr>
        <w:t>保护利用，</w:t>
      </w:r>
      <w:r>
        <w:rPr>
          <w:rFonts w:hint="eastAsia" w:ascii="Times New Roman" w:hAnsi="Times New Roman" w:eastAsia="仿宋_GB2312"/>
          <w:kern w:val="0"/>
          <w:sz w:val="30"/>
          <w:szCs w:val="30"/>
        </w:rPr>
        <w:t>突出历史风貌与文化，打造一批特色街区</w:t>
      </w:r>
      <w:r>
        <w:rPr>
          <w:rFonts w:ascii="Times New Roman" w:hAnsi="Times New Roman" w:eastAsia="仿宋_GB2312"/>
          <w:kern w:val="0"/>
          <w:sz w:val="30"/>
          <w:szCs w:val="30"/>
        </w:rPr>
        <w:t>。</w:t>
      </w:r>
      <w:r>
        <w:rPr>
          <w:rFonts w:hint="eastAsia" w:ascii="Times New Roman" w:hAnsi="Times New Roman" w:eastAsia="仿宋_GB2312"/>
          <w:kern w:val="0"/>
          <w:sz w:val="30"/>
          <w:szCs w:val="30"/>
        </w:rPr>
        <w:t>挖掘本地老字号特色资源，推动其创新发展。</w:t>
      </w:r>
      <w:r>
        <w:rPr>
          <w:rFonts w:ascii="Times New Roman" w:hAnsi="Times New Roman" w:eastAsia="仿宋_GB2312"/>
          <w:kern w:val="0"/>
          <w:sz w:val="30"/>
          <w:szCs w:val="30"/>
        </w:rPr>
        <w:t>鼓励菜市场</w:t>
      </w:r>
      <w:r>
        <w:rPr>
          <w:rFonts w:hint="eastAsia" w:ascii="Times New Roman" w:hAnsi="Times New Roman" w:eastAsia="仿宋_GB2312"/>
          <w:kern w:val="0"/>
          <w:sz w:val="30"/>
          <w:szCs w:val="30"/>
        </w:rPr>
        <w:t>、书店等业态结合本地文化、IP等文创改造</w:t>
      </w:r>
      <w:r>
        <w:rPr>
          <w:rFonts w:ascii="Times New Roman" w:hAnsi="Times New Roman" w:eastAsia="仿宋_GB2312"/>
          <w:kern w:val="0"/>
          <w:sz w:val="30"/>
          <w:szCs w:val="30"/>
        </w:rPr>
        <w:t>。</w:t>
      </w:r>
    </w:p>
    <w:p>
      <w:pPr>
        <w:spacing w:line="560" w:lineRule="exact"/>
        <w:ind w:firstLine="600" w:firstLineChars="200"/>
        <w:rPr>
          <w:rFonts w:ascii="仿宋_GB2312" w:eastAsia="仿宋_GB2312"/>
          <w:sz w:val="30"/>
          <w:szCs w:val="30"/>
        </w:rPr>
      </w:pPr>
      <w:bookmarkStart w:id="7" w:name="_Toc183613727"/>
      <w:r>
        <w:rPr>
          <w:rFonts w:hint="eastAsia" w:ascii="仿宋_GB2312" w:eastAsia="仿宋_GB2312"/>
          <w:sz w:val="30"/>
          <w:szCs w:val="30"/>
        </w:rPr>
        <w:t>三、以人为本，促进便民商业全覆盖</w:t>
      </w:r>
      <w:bookmarkEnd w:id="7"/>
    </w:p>
    <w:p>
      <w:pPr>
        <w:widowControl/>
        <w:spacing w:line="560" w:lineRule="exact"/>
        <w:ind w:firstLine="600" w:firstLineChars="200"/>
        <w:rPr>
          <w:rFonts w:ascii="Times New Roman" w:hAnsi="Times New Roman" w:eastAsia="仿宋_GB2312"/>
          <w:kern w:val="0"/>
          <w:sz w:val="30"/>
          <w:szCs w:val="30"/>
        </w:rPr>
      </w:pPr>
      <w:r>
        <w:rPr>
          <w:rFonts w:hint="eastAsia" w:ascii="Times New Roman" w:hAnsi="Times New Roman" w:eastAsia="仿宋_GB2312"/>
          <w:kern w:val="0"/>
          <w:sz w:val="30"/>
          <w:szCs w:val="30"/>
        </w:rPr>
        <w:t>将社区商业作为未来商业增量的主要方向</w:t>
      </w:r>
      <w:r>
        <w:rPr>
          <w:rFonts w:ascii="Times New Roman" w:hAnsi="Times New Roman" w:eastAsia="仿宋_GB2312"/>
          <w:kern w:val="0"/>
          <w:sz w:val="30"/>
          <w:szCs w:val="30"/>
        </w:rPr>
        <w:t>，</w:t>
      </w:r>
      <w:r>
        <w:rPr>
          <w:rFonts w:hint="eastAsia" w:ascii="Times New Roman" w:hAnsi="Times New Roman" w:eastAsia="仿宋_GB2312"/>
          <w:kern w:val="0"/>
          <w:sz w:val="30"/>
          <w:szCs w:val="30"/>
        </w:rPr>
        <w:t>推动社区商业中心、一刻钟便民生活圈、便民市场等商业有序实现服务范围全覆盖。不断提升社区商业供给品质，推动社区商业标准化、信息化发展。重点推动“一店一早、一菜一修、一老一小”等高频便民业态的覆盖。结合产业园区、乡镇驻地的布局合理发展园区商业与乡镇商贸中心。</w:t>
      </w:r>
    </w:p>
    <w:p>
      <w:pPr>
        <w:spacing w:line="560" w:lineRule="exact"/>
        <w:ind w:firstLine="600" w:firstLineChars="200"/>
        <w:rPr>
          <w:rFonts w:ascii="仿宋_GB2312" w:eastAsia="仿宋_GB2312"/>
          <w:sz w:val="30"/>
          <w:szCs w:val="30"/>
        </w:rPr>
      </w:pPr>
      <w:bookmarkStart w:id="8" w:name="_Toc183613728"/>
      <w:r>
        <w:rPr>
          <w:rFonts w:hint="eastAsia" w:ascii="仿宋_GB2312" w:eastAsia="仿宋_GB2312"/>
          <w:sz w:val="30"/>
          <w:szCs w:val="30"/>
        </w:rPr>
        <w:t>四、包容</w:t>
      </w:r>
      <w:r>
        <w:rPr>
          <w:rFonts w:ascii="仿宋_GB2312" w:eastAsia="仿宋_GB2312"/>
          <w:sz w:val="30"/>
          <w:szCs w:val="30"/>
        </w:rPr>
        <w:t>创新</w:t>
      </w:r>
      <w:r>
        <w:rPr>
          <w:rFonts w:hint="eastAsia" w:ascii="仿宋_GB2312" w:eastAsia="仿宋_GB2312"/>
          <w:sz w:val="30"/>
          <w:szCs w:val="30"/>
        </w:rPr>
        <w:t>，鼓励新技术新模式新业态发展</w:t>
      </w:r>
      <w:bookmarkEnd w:id="8"/>
    </w:p>
    <w:p>
      <w:pPr>
        <w:spacing w:line="560" w:lineRule="exact"/>
        <w:ind w:firstLine="600" w:firstLineChars="200"/>
        <w:rPr>
          <w:rFonts w:hint="eastAsia" w:ascii="仿宋_GB2312" w:hAnsi="黑体" w:eastAsia="仿宋_GB2312"/>
          <w:b/>
          <w:bCs/>
          <w:sz w:val="30"/>
          <w:szCs w:val="30"/>
        </w:rPr>
      </w:pPr>
      <w:r>
        <w:rPr>
          <w:rFonts w:ascii="Times New Roman" w:hAnsi="Times New Roman" w:eastAsia="仿宋_GB2312"/>
          <w:kern w:val="0"/>
          <w:sz w:val="30"/>
          <w:szCs w:val="30"/>
        </w:rPr>
        <w:t>积极推动</w:t>
      </w:r>
      <w:r>
        <w:rPr>
          <w:rFonts w:hint="eastAsia" w:ascii="Times New Roman" w:hAnsi="Times New Roman" w:eastAsia="仿宋_GB2312"/>
          <w:kern w:val="0"/>
          <w:sz w:val="30"/>
          <w:szCs w:val="30"/>
        </w:rPr>
        <w:t>智慧商圈/商街</w:t>
      </w:r>
      <w:r>
        <w:rPr>
          <w:rFonts w:ascii="Times New Roman" w:hAnsi="Times New Roman" w:eastAsia="仿宋_GB2312"/>
          <w:kern w:val="0"/>
          <w:sz w:val="30"/>
          <w:szCs w:val="30"/>
        </w:rPr>
        <w:t>、</w:t>
      </w:r>
      <w:r>
        <w:rPr>
          <w:rFonts w:hint="eastAsia" w:ascii="Times New Roman" w:hAnsi="Times New Roman" w:eastAsia="仿宋_GB2312"/>
          <w:kern w:val="0"/>
          <w:sz w:val="30"/>
          <w:szCs w:val="30"/>
        </w:rPr>
        <w:t>智慧商场的建设，推动</w:t>
      </w:r>
      <w:r>
        <w:rPr>
          <w:rFonts w:ascii="Times New Roman" w:hAnsi="Times New Roman" w:eastAsia="仿宋_GB2312"/>
          <w:kern w:val="0"/>
          <w:sz w:val="30"/>
          <w:szCs w:val="30"/>
        </w:rPr>
        <w:t>数字信息、场景交互、大数据采集分析、物流配送、流媒体平台等消费场景、消费支撑方面的技术创新，推动大型网点线上线下融合发展，推动商圈环境的创新提升，核心商圈内推动智慧交通、无人驾驶等技术应用的试点示范，鼓励人脸支付、快递到家到机场、智慧公厕、机器人服务、电子发票、智慧问询等便利化措施的创新。鼓励无人机、裸眼3D媒体幕墙、智慧照明、数字篝火等技术以及虚拟文创IP等在商业节庆活动、消费氛围营造等方面的应用。</w:t>
      </w:r>
    </w:p>
    <w:p>
      <w:pPr>
        <w:spacing w:line="560" w:lineRule="exact"/>
        <w:ind w:firstLine="602" w:firstLineChars="200"/>
        <w:rPr>
          <w:rFonts w:hint="eastAsia" w:ascii="仿宋_GB2312" w:hAnsi="黑体" w:eastAsia="仿宋_GB2312"/>
          <w:sz w:val="30"/>
          <w:szCs w:val="30"/>
        </w:rPr>
      </w:pPr>
      <w:r>
        <w:rPr>
          <w:rFonts w:hint="eastAsia" w:ascii="仿宋_GB2312" w:hAnsi="黑体" w:eastAsia="仿宋_GB2312"/>
          <w:b/>
          <w:bCs/>
          <w:sz w:val="30"/>
          <w:szCs w:val="30"/>
        </w:rPr>
        <w:t xml:space="preserve">第十条 </w:t>
      </w:r>
      <w:r>
        <w:rPr>
          <w:rFonts w:hint="eastAsia" w:ascii="仿宋_GB2312" w:hAnsi="黑体" w:eastAsia="仿宋_GB2312"/>
          <w:sz w:val="30"/>
          <w:szCs w:val="30"/>
        </w:rPr>
        <w:t>发展目标</w:t>
      </w:r>
    </w:p>
    <w:p>
      <w:pPr>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到2035年</w:t>
      </w:r>
      <w:r>
        <w:rPr>
          <w:rFonts w:hint="eastAsia" w:ascii="Times New Roman" w:hAnsi="Times New Roman" w:eastAsia="仿宋_GB2312"/>
          <w:sz w:val="30"/>
          <w:szCs w:val="30"/>
        </w:rPr>
        <w:t>，</w:t>
      </w:r>
      <w:r>
        <w:rPr>
          <w:rFonts w:ascii="Times New Roman" w:hAnsi="Times New Roman" w:eastAsia="仿宋_GB2312"/>
          <w:sz w:val="30"/>
          <w:szCs w:val="30"/>
        </w:rPr>
        <w:t>富有</w:t>
      </w:r>
      <w:r>
        <w:rPr>
          <w:rFonts w:hint="eastAsia" w:ascii="Times New Roman" w:hAnsi="Times New Roman" w:eastAsia="仿宋_GB2312"/>
          <w:sz w:val="30"/>
          <w:szCs w:val="30"/>
        </w:rPr>
        <w:t>长治文化底蕴，</w:t>
      </w:r>
      <w:r>
        <w:rPr>
          <w:rFonts w:ascii="Times New Roman" w:hAnsi="Times New Roman" w:eastAsia="仿宋_GB2312"/>
          <w:sz w:val="30"/>
          <w:szCs w:val="30"/>
        </w:rPr>
        <w:t>时尚、</w:t>
      </w:r>
      <w:r>
        <w:rPr>
          <w:rFonts w:hint="eastAsia" w:ascii="Times New Roman" w:hAnsi="Times New Roman" w:eastAsia="仿宋_GB2312"/>
          <w:sz w:val="30"/>
          <w:szCs w:val="30"/>
        </w:rPr>
        <w:t>生态</w:t>
      </w:r>
      <w:r>
        <w:rPr>
          <w:rFonts w:ascii="Times New Roman" w:hAnsi="Times New Roman" w:eastAsia="仿宋_GB2312"/>
          <w:sz w:val="30"/>
          <w:szCs w:val="30"/>
        </w:rPr>
        <w:t>、智慧的城市</w:t>
      </w:r>
      <w:r>
        <w:rPr>
          <w:rFonts w:hint="eastAsia" w:ascii="Times New Roman" w:hAnsi="Times New Roman" w:eastAsia="仿宋_GB2312"/>
          <w:sz w:val="30"/>
          <w:szCs w:val="30"/>
        </w:rPr>
        <w:t>商业体系</w:t>
      </w:r>
      <w:r>
        <w:rPr>
          <w:rFonts w:ascii="Times New Roman" w:hAnsi="Times New Roman" w:eastAsia="仿宋_GB2312"/>
          <w:sz w:val="30"/>
          <w:szCs w:val="30"/>
        </w:rPr>
        <w:t>建设成熟</w:t>
      </w:r>
      <w:r>
        <w:rPr>
          <w:rFonts w:hint="eastAsia" w:ascii="Times New Roman" w:hAnsi="Times New Roman" w:eastAsia="仿宋_GB2312"/>
          <w:sz w:val="30"/>
          <w:szCs w:val="30"/>
        </w:rPr>
        <w:t>，</w:t>
      </w:r>
      <w:r>
        <w:rPr>
          <w:rFonts w:ascii="Times New Roman" w:hAnsi="Times New Roman" w:eastAsia="仿宋_GB2312"/>
          <w:sz w:val="30"/>
          <w:szCs w:val="30"/>
        </w:rPr>
        <w:t>商品消费与服务消费全面升级，商业消费空间高效利用的</w:t>
      </w:r>
      <w:r>
        <w:rPr>
          <w:rFonts w:hint="eastAsia" w:ascii="Times New Roman" w:hAnsi="Times New Roman" w:eastAsia="仿宋_GB2312"/>
          <w:sz w:val="30"/>
          <w:szCs w:val="30"/>
        </w:rPr>
        <w:t>区域</w:t>
      </w:r>
      <w:r>
        <w:rPr>
          <w:rFonts w:ascii="Times New Roman" w:hAnsi="Times New Roman" w:eastAsia="仿宋_GB2312"/>
          <w:sz w:val="30"/>
          <w:szCs w:val="30"/>
        </w:rPr>
        <w:t>消费中心城市</w:t>
      </w:r>
      <w:r>
        <w:rPr>
          <w:rFonts w:hint="eastAsia" w:ascii="Times New Roman" w:hAnsi="Times New Roman" w:eastAsia="仿宋_GB2312"/>
          <w:sz w:val="30"/>
          <w:szCs w:val="30"/>
        </w:rPr>
        <w:t>基本建成</w:t>
      </w:r>
      <w:r>
        <w:rPr>
          <w:rFonts w:ascii="Times New Roman" w:hAnsi="Times New Roman" w:eastAsia="仿宋_GB2312"/>
          <w:sz w:val="30"/>
          <w:szCs w:val="30"/>
        </w:rPr>
        <w:t>。以城市消费功能区的更新改造，大型零售网点与特色商业街区的升级发展，建成梯次发展、时尚智慧的商业中心体系；深入挖掘</w:t>
      </w:r>
      <w:r>
        <w:rPr>
          <w:rFonts w:hint="eastAsia" w:ascii="Times New Roman" w:hAnsi="Times New Roman" w:eastAsia="仿宋_GB2312"/>
          <w:sz w:val="30"/>
          <w:szCs w:val="30"/>
        </w:rPr>
        <w:t>山西古建等</w:t>
      </w:r>
      <w:r>
        <w:rPr>
          <w:rFonts w:ascii="Times New Roman" w:hAnsi="Times New Roman" w:eastAsia="仿宋_GB2312"/>
          <w:sz w:val="30"/>
          <w:szCs w:val="30"/>
        </w:rPr>
        <w:t>历史文化资源与</w:t>
      </w:r>
      <w:r>
        <w:rPr>
          <w:rFonts w:hint="eastAsia" w:ascii="Times New Roman" w:hAnsi="Times New Roman" w:eastAsia="仿宋_GB2312"/>
          <w:sz w:val="30"/>
          <w:szCs w:val="30"/>
        </w:rPr>
        <w:t>太行山水</w:t>
      </w:r>
      <w:r>
        <w:rPr>
          <w:rFonts w:ascii="Times New Roman" w:hAnsi="Times New Roman" w:eastAsia="仿宋_GB2312"/>
          <w:sz w:val="30"/>
          <w:szCs w:val="30"/>
        </w:rPr>
        <w:t>城市特色，商旅文深度融入，打造极具魅力的特色商业名片；以社区商业中心的调整完善，发展现代化社区商业中心，实现智慧、便捷的城镇社区商业服务全覆盖；以</w:t>
      </w:r>
      <w:r>
        <w:rPr>
          <w:rFonts w:hint="eastAsia" w:ascii="Times New Roman" w:hAnsi="Times New Roman" w:eastAsia="仿宋_GB2312"/>
          <w:sz w:val="30"/>
          <w:szCs w:val="30"/>
        </w:rPr>
        <w:t>流通枢纽</w:t>
      </w:r>
      <w:r>
        <w:rPr>
          <w:rFonts w:ascii="Times New Roman" w:hAnsi="Times New Roman" w:eastAsia="仿宋_GB2312"/>
          <w:sz w:val="30"/>
          <w:szCs w:val="30"/>
        </w:rPr>
        <w:t>城市建设为抓手，实现商贸物流在全渠道专业化、国际化和数字化的转型升级，提升</w:t>
      </w:r>
      <w:r>
        <w:rPr>
          <w:rFonts w:hint="eastAsia" w:ascii="Times New Roman" w:hAnsi="Times New Roman" w:eastAsia="仿宋_GB2312"/>
          <w:sz w:val="30"/>
          <w:szCs w:val="30"/>
        </w:rPr>
        <w:t>长治</w:t>
      </w:r>
      <w:r>
        <w:rPr>
          <w:rFonts w:ascii="Times New Roman" w:hAnsi="Times New Roman" w:eastAsia="仿宋_GB2312"/>
          <w:sz w:val="30"/>
          <w:szCs w:val="30"/>
        </w:rPr>
        <w:t>市商贸物流</w:t>
      </w:r>
      <w:r>
        <w:rPr>
          <w:rFonts w:hint="eastAsia" w:ascii="Times New Roman" w:hAnsi="Times New Roman" w:eastAsia="仿宋_GB2312"/>
          <w:sz w:val="30"/>
          <w:szCs w:val="30"/>
        </w:rPr>
        <w:t>辐射</w:t>
      </w:r>
      <w:r>
        <w:rPr>
          <w:rFonts w:ascii="Times New Roman" w:hAnsi="Times New Roman" w:eastAsia="仿宋_GB2312"/>
          <w:sz w:val="30"/>
          <w:szCs w:val="30"/>
        </w:rPr>
        <w:t>能级，构建</w:t>
      </w:r>
      <w:r>
        <w:rPr>
          <w:rFonts w:hint="eastAsia" w:ascii="Times New Roman" w:hAnsi="Times New Roman" w:eastAsia="仿宋_GB2312"/>
          <w:sz w:val="30"/>
          <w:szCs w:val="30"/>
        </w:rPr>
        <w:t>区域</w:t>
      </w:r>
      <w:r>
        <w:rPr>
          <w:rFonts w:ascii="Times New Roman" w:hAnsi="Times New Roman" w:eastAsia="仿宋_GB2312"/>
          <w:sz w:val="30"/>
          <w:szCs w:val="30"/>
        </w:rPr>
        <w:t>商贸物流中心。</w:t>
      </w:r>
    </w:p>
    <w:p>
      <w:pPr>
        <w:pStyle w:val="55"/>
        <w:widowControl/>
        <w:spacing w:before="312" w:beforeLines="100" w:after="156" w:afterLines="50"/>
        <w:rPr>
          <w:rFonts w:ascii="Times New Roman" w:hAnsi="Times New Roman" w:cs="Times New Roman"/>
          <w:b w:val="0"/>
          <w:kern w:val="0"/>
        </w:rPr>
      </w:pPr>
      <w:bookmarkStart w:id="9" w:name="_Toc183683950"/>
      <w:r>
        <w:rPr>
          <w:rFonts w:hint="eastAsia" w:ascii="Times New Roman" w:hAnsi="Times New Roman" w:cs="Times New Roman"/>
          <w:b w:val="0"/>
          <w:kern w:val="0"/>
        </w:rPr>
        <w:t xml:space="preserve">第三章 </w:t>
      </w:r>
      <w:r>
        <w:rPr>
          <w:rFonts w:hint="eastAsia" w:ascii="Times New Roman" w:hAnsi="Times New Roman"/>
          <w:b w:val="0"/>
          <w:kern w:val="44"/>
          <w:szCs w:val="28"/>
        </w:rPr>
        <w:t>商业空间规划布局</w:t>
      </w:r>
      <w:bookmarkEnd w:id="9"/>
    </w:p>
    <w:p>
      <w:pPr>
        <w:spacing w:before="156" w:beforeLines="50" w:after="156" w:afterLines="50" w:line="560" w:lineRule="exact"/>
        <w:ind w:firstLine="602" w:firstLineChars="200"/>
        <w:outlineLvl w:val="1"/>
        <w:rPr>
          <w:rFonts w:hint="eastAsia" w:ascii="黑体" w:hAnsi="黑体" w:eastAsia="黑体"/>
          <w:b/>
          <w:bCs/>
          <w:sz w:val="30"/>
          <w:szCs w:val="30"/>
        </w:rPr>
      </w:pPr>
      <w:bookmarkStart w:id="10" w:name="_Toc183683951"/>
      <w:r>
        <w:rPr>
          <w:rFonts w:hint="eastAsia" w:ascii="黑体" w:hAnsi="黑体" w:eastAsia="黑体"/>
          <w:b/>
          <w:bCs/>
          <w:sz w:val="30"/>
          <w:szCs w:val="30"/>
        </w:rPr>
        <w:t>第一节 商业空间总体格局规划</w:t>
      </w:r>
      <w:bookmarkEnd w:id="10"/>
    </w:p>
    <w:p>
      <w:pPr>
        <w:spacing w:line="560" w:lineRule="exact"/>
        <w:ind w:firstLine="602" w:firstLineChars="200"/>
        <w:rPr>
          <w:rFonts w:hint="eastAsia" w:ascii="仿宋_GB2312" w:hAnsi="黑体" w:eastAsia="仿宋_GB2312"/>
          <w:sz w:val="30"/>
          <w:szCs w:val="30"/>
        </w:rPr>
      </w:pPr>
      <w:r>
        <w:rPr>
          <w:rFonts w:hint="eastAsia" w:ascii="仿宋_GB2312" w:hAnsi="黑体" w:eastAsia="仿宋_GB2312"/>
          <w:b/>
          <w:bCs/>
          <w:sz w:val="30"/>
          <w:szCs w:val="30"/>
        </w:rPr>
        <w:t>第十一条</w:t>
      </w:r>
      <w:r>
        <w:rPr>
          <w:rFonts w:hint="eastAsia" w:ascii="仿宋_GB2312" w:hAnsi="黑体" w:eastAsia="仿宋_GB2312"/>
          <w:sz w:val="30"/>
          <w:szCs w:val="30"/>
        </w:rPr>
        <w:t xml:space="preserve"> 布局要求</w:t>
      </w:r>
    </w:p>
    <w:p>
      <w:pPr>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 xml:space="preserve">1. </w:t>
      </w:r>
      <w:r>
        <w:rPr>
          <w:rFonts w:ascii="Times New Roman" w:hAnsi="Times New Roman" w:eastAsia="仿宋_GB2312"/>
          <w:sz w:val="30"/>
          <w:szCs w:val="30"/>
        </w:rPr>
        <w:t>控制规模。统筹考虑居民消费需求新特征，引导新兴商业布局，控制商业网点发展总量，避免过度开发；充分利用现状商业基础和存量商业设施，以打造符合实际发展需求的商业为目标，进行统一的规划引导和改造提升，实现商业网点科学发展。</w:t>
      </w:r>
    </w:p>
    <w:p>
      <w:pPr>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 xml:space="preserve">2. </w:t>
      </w:r>
      <w:r>
        <w:rPr>
          <w:rFonts w:ascii="Times New Roman" w:hAnsi="Times New Roman" w:eastAsia="仿宋_GB2312"/>
          <w:sz w:val="30"/>
          <w:szCs w:val="30"/>
        </w:rPr>
        <w:t>均衡发展。商业网点空间布局要依据城市空间布局要求，与居住区、成熟商圈和商业功能区融合发展；既要考虑到传统商业区的发展要求，又要兼顾城市扩张带来的新的消费需求，做到适度均衡布局。</w:t>
      </w:r>
    </w:p>
    <w:p>
      <w:pPr>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 xml:space="preserve">3. </w:t>
      </w:r>
      <w:r>
        <w:rPr>
          <w:rFonts w:ascii="Times New Roman" w:hAnsi="Times New Roman" w:eastAsia="仿宋_GB2312"/>
          <w:sz w:val="30"/>
          <w:szCs w:val="30"/>
        </w:rPr>
        <w:t>划分层次。商业网点空间布局要根据其规模、所在区位、服务对象和发展定位不同，划定不同的发展层次，各层次间紧密衔接，空间上实现功能互补，发展层次上做到统一协调。</w:t>
      </w:r>
    </w:p>
    <w:p>
      <w:pPr>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 xml:space="preserve">4. </w:t>
      </w:r>
      <w:r>
        <w:rPr>
          <w:rFonts w:ascii="Times New Roman" w:hAnsi="Times New Roman" w:eastAsia="仿宋_GB2312"/>
          <w:sz w:val="30"/>
          <w:szCs w:val="30"/>
        </w:rPr>
        <w:t>突出特色。结合商业资源的现状特点和商业业态的发展趋势，对商业网点的功能和定位进行分析研究，以差异化为原则，强化商业网点与多种资源、多元消费特征融合，突出商业网点的不同特色。</w:t>
      </w:r>
    </w:p>
    <w:p>
      <w:pPr>
        <w:spacing w:line="560" w:lineRule="exact"/>
        <w:ind w:firstLine="602" w:firstLineChars="200"/>
        <w:rPr>
          <w:rFonts w:hint="eastAsia" w:ascii="仿宋_GB2312" w:hAnsi="黑体" w:eastAsia="仿宋_GB2312"/>
          <w:sz w:val="30"/>
          <w:szCs w:val="30"/>
        </w:rPr>
      </w:pPr>
      <w:r>
        <w:rPr>
          <w:rFonts w:hint="eastAsia" w:ascii="仿宋_GB2312" w:hAnsi="黑体" w:eastAsia="仿宋_GB2312"/>
          <w:b/>
          <w:bCs/>
          <w:sz w:val="30"/>
          <w:szCs w:val="30"/>
        </w:rPr>
        <w:t>第十二条</w:t>
      </w:r>
      <w:r>
        <w:rPr>
          <w:rFonts w:hint="eastAsia" w:ascii="仿宋_GB2312" w:hAnsi="黑体" w:eastAsia="仿宋_GB2312"/>
          <w:sz w:val="30"/>
          <w:szCs w:val="30"/>
        </w:rPr>
        <w:t xml:space="preserve"> 总体格局规划</w:t>
      </w:r>
    </w:p>
    <w:p>
      <w:pPr>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依据</w:t>
      </w:r>
      <w:r>
        <w:rPr>
          <w:rFonts w:hint="eastAsia" w:ascii="Times New Roman" w:hAnsi="Times New Roman" w:eastAsia="仿宋_GB2312"/>
          <w:sz w:val="30"/>
          <w:szCs w:val="30"/>
        </w:rPr>
        <w:t>长治国土空间</w:t>
      </w:r>
      <w:r>
        <w:rPr>
          <w:rFonts w:ascii="Times New Roman" w:hAnsi="Times New Roman" w:eastAsia="仿宋_GB2312"/>
          <w:sz w:val="30"/>
          <w:szCs w:val="30"/>
        </w:rPr>
        <w:t>总体规划和城市商业设置要求，立足</w:t>
      </w:r>
      <w:r>
        <w:rPr>
          <w:rFonts w:hint="eastAsia" w:ascii="Times New Roman" w:hAnsi="Times New Roman" w:eastAsia="仿宋_GB2312"/>
          <w:sz w:val="30"/>
          <w:szCs w:val="30"/>
        </w:rPr>
        <w:t>长治</w:t>
      </w:r>
      <w:r>
        <w:rPr>
          <w:rFonts w:ascii="Times New Roman" w:hAnsi="Times New Roman" w:eastAsia="仿宋_GB2312"/>
          <w:sz w:val="30"/>
          <w:szCs w:val="30"/>
        </w:rPr>
        <w:t>市中心城区商业发展现状，围绕</w:t>
      </w:r>
      <w:r>
        <w:rPr>
          <w:rFonts w:hint="eastAsia" w:ascii="Times New Roman" w:hAnsi="Times New Roman" w:eastAsia="仿宋_GB2312"/>
          <w:sz w:val="30"/>
          <w:szCs w:val="30"/>
        </w:rPr>
        <w:t>城市更新与</w:t>
      </w:r>
      <w:r>
        <w:rPr>
          <w:rFonts w:ascii="Times New Roman" w:hAnsi="Times New Roman" w:eastAsia="仿宋_GB2312"/>
          <w:sz w:val="30"/>
          <w:szCs w:val="30"/>
        </w:rPr>
        <w:t>城乡一体化发展</w:t>
      </w:r>
      <w:r>
        <w:rPr>
          <w:rFonts w:hint="eastAsia" w:ascii="Times New Roman" w:hAnsi="Times New Roman" w:eastAsia="仿宋_GB2312"/>
          <w:sz w:val="30"/>
          <w:szCs w:val="30"/>
        </w:rPr>
        <w:t>要求</w:t>
      </w:r>
      <w:r>
        <w:rPr>
          <w:rFonts w:ascii="Times New Roman" w:hAnsi="Times New Roman" w:eastAsia="仿宋_GB2312"/>
          <w:sz w:val="30"/>
          <w:szCs w:val="30"/>
        </w:rPr>
        <w:t>，充分考虑未来城市空间结构和消费人口分布，规划在中心城区构建</w:t>
      </w:r>
      <w:r>
        <w:rPr>
          <w:rFonts w:ascii="Times New Roman" w:hAnsi="Times New Roman" w:eastAsia="仿宋_GB2312"/>
          <w:b/>
          <w:bCs/>
          <w:sz w:val="30"/>
          <w:szCs w:val="30"/>
        </w:rPr>
        <w:t>“</w:t>
      </w:r>
      <w:r>
        <w:rPr>
          <w:rFonts w:hint="eastAsia" w:ascii="Times New Roman" w:hAnsi="Times New Roman" w:eastAsia="仿宋_GB2312"/>
          <w:b/>
          <w:bCs/>
          <w:sz w:val="30"/>
          <w:szCs w:val="30"/>
        </w:rPr>
        <w:t>3+11·2121</w:t>
      </w:r>
      <w:r>
        <w:rPr>
          <w:rFonts w:ascii="Times New Roman" w:hAnsi="Times New Roman" w:eastAsia="仿宋_GB2312"/>
          <w:b/>
          <w:bCs/>
          <w:sz w:val="30"/>
          <w:szCs w:val="30"/>
        </w:rPr>
        <w:t>”</w:t>
      </w:r>
      <w:r>
        <w:rPr>
          <w:rFonts w:ascii="Times New Roman" w:hAnsi="Times New Roman" w:eastAsia="仿宋_GB2312"/>
          <w:sz w:val="30"/>
          <w:szCs w:val="30"/>
        </w:rPr>
        <w:t>的商业发展总体格局。</w:t>
      </w:r>
    </w:p>
    <w:p>
      <w:pPr>
        <w:spacing w:line="560" w:lineRule="exact"/>
        <w:ind w:firstLine="602" w:firstLineChars="200"/>
        <w:rPr>
          <w:rFonts w:ascii="Times New Roman" w:hAnsi="Times New Roman" w:eastAsia="仿宋_GB2312"/>
          <w:sz w:val="30"/>
          <w:szCs w:val="30"/>
        </w:rPr>
      </w:pPr>
      <w:r>
        <w:rPr>
          <w:rFonts w:ascii="Times New Roman" w:hAnsi="Times New Roman" w:eastAsia="仿宋_GB2312"/>
          <w:b/>
          <w:bCs/>
          <w:sz w:val="30"/>
          <w:szCs w:val="30"/>
        </w:rPr>
        <w:t>“</w:t>
      </w:r>
      <w:r>
        <w:rPr>
          <w:rFonts w:hint="eastAsia" w:ascii="Times New Roman" w:hAnsi="Times New Roman" w:eastAsia="仿宋_GB2312"/>
          <w:b/>
          <w:bCs/>
          <w:sz w:val="30"/>
          <w:szCs w:val="30"/>
        </w:rPr>
        <w:t>3+11</w:t>
      </w:r>
      <w:r>
        <w:rPr>
          <w:rFonts w:ascii="Times New Roman" w:hAnsi="Times New Roman" w:eastAsia="仿宋_GB2312"/>
          <w:b/>
          <w:bCs/>
          <w:sz w:val="30"/>
          <w:szCs w:val="30"/>
        </w:rPr>
        <w:t>”：</w:t>
      </w:r>
      <w:r>
        <w:rPr>
          <w:rFonts w:ascii="Times New Roman" w:hAnsi="Times New Roman" w:eastAsia="仿宋_GB2312"/>
          <w:sz w:val="30"/>
          <w:szCs w:val="30"/>
        </w:rPr>
        <w:t>指</w:t>
      </w:r>
      <w:r>
        <w:rPr>
          <w:rFonts w:hint="eastAsia" w:ascii="Times New Roman" w:hAnsi="Times New Roman" w:eastAsia="仿宋_GB2312"/>
          <w:sz w:val="30"/>
          <w:szCs w:val="30"/>
        </w:rPr>
        <w:t>3</w:t>
      </w:r>
      <w:r>
        <w:rPr>
          <w:rFonts w:ascii="Times New Roman" w:hAnsi="Times New Roman" w:eastAsia="仿宋_GB2312"/>
          <w:sz w:val="30"/>
          <w:szCs w:val="30"/>
        </w:rPr>
        <w:t>个</w:t>
      </w:r>
      <w:r>
        <w:rPr>
          <w:rFonts w:hint="eastAsia" w:ascii="Times New Roman" w:hAnsi="Times New Roman" w:eastAsia="仿宋_GB2312"/>
          <w:sz w:val="30"/>
          <w:szCs w:val="30"/>
        </w:rPr>
        <w:t>城市</w:t>
      </w:r>
      <w:r>
        <w:rPr>
          <w:rFonts w:ascii="Times New Roman" w:hAnsi="Times New Roman" w:eastAsia="仿宋_GB2312"/>
          <w:sz w:val="30"/>
          <w:szCs w:val="30"/>
        </w:rPr>
        <w:t>商业</w:t>
      </w:r>
      <w:r>
        <w:rPr>
          <w:rFonts w:hint="eastAsia" w:ascii="Times New Roman" w:hAnsi="Times New Roman" w:eastAsia="仿宋_GB2312"/>
          <w:sz w:val="30"/>
          <w:szCs w:val="30"/>
        </w:rPr>
        <w:t>主</w:t>
      </w:r>
      <w:r>
        <w:rPr>
          <w:rFonts w:ascii="Times New Roman" w:hAnsi="Times New Roman" w:eastAsia="仿宋_GB2312"/>
          <w:sz w:val="30"/>
          <w:szCs w:val="30"/>
        </w:rPr>
        <w:t>中心，包括</w:t>
      </w:r>
      <w:r>
        <w:rPr>
          <w:rFonts w:hint="eastAsia" w:ascii="仿宋_GB2312" w:hAnsi="黑体" w:eastAsia="仿宋_GB2312"/>
          <w:sz w:val="30"/>
          <w:szCs w:val="30"/>
        </w:rPr>
        <w:t>城隍庙商圈、长治万达商圈、滨湖商圈（新建）</w:t>
      </w:r>
      <w:r>
        <w:rPr>
          <w:rFonts w:ascii="Times New Roman" w:hAnsi="Times New Roman" w:eastAsia="仿宋_GB2312"/>
          <w:sz w:val="30"/>
          <w:szCs w:val="30"/>
        </w:rPr>
        <w:t>；</w:t>
      </w:r>
      <w:r>
        <w:rPr>
          <w:rFonts w:hint="eastAsia" w:ascii="Times New Roman" w:hAnsi="Times New Roman" w:eastAsia="仿宋_GB2312"/>
          <w:sz w:val="30"/>
          <w:szCs w:val="30"/>
        </w:rPr>
        <w:t>11城市</w:t>
      </w:r>
      <w:r>
        <w:rPr>
          <w:rFonts w:ascii="Times New Roman" w:hAnsi="Times New Roman" w:eastAsia="仿宋_GB2312"/>
          <w:sz w:val="30"/>
          <w:szCs w:val="30"/>
        </w:rPr>
        <w:t>商业</w:t>
      </w:r>
      <w:r>
        <w:rPr>
          <w:rFonts w:hint="eastAsia" w:ascii="Times New Roman" w:hAnsi="Times New Roman" w:eastAsia="仿宋_GB2312"/>
          <w:sz w:val="30"/>
          <w:szCs w:val="30"/>
        </w:rPr>
        <w:t>副</w:t>
      </w:r>
      <w:r>
        <w:rPr>
          <w:rFonts w:ascii="Times New Roman" w:hAnsi="Times New Roman" w:eastAsia="仿宋_GB2312"/>
          <w:sz w:val="30"/>
          <w:szCs w:val="30"/>
        </w:rPr>
        <w:t>中心，包括</w:t>
      </w:r>
      <w:r>
        <w:rPr>
          <w:rFonts w:hint="eastAsia" w:ascii="仿宋_GB2312" w:hAnsi="黑体" w:eastAsia="仿宋_GB2312"/>
          <w:sz w:val="30"/>
          <w:szCs w:val="30"/>
        </w:rPr>
        <w:t>八一广场商圈、南广场商圈（新建）、高新区商圈（新建）、文体中心商圈（新建）、凯德世家商圈、新市街商圈、屯留西街商圈、获壁街商圈、潞城金威商圈、摩坊金街商圈、潞城东关商圈（新建）</w:t>
      </w:r>
      <w:r>
        <w:rPr>
          <w:rFonts w:ascii="Times New Roman" w:hAnsi="Times New Roman" w:eastAsia="仿宋_GB2312"/>
          <w:sz w:val="30"/>
          <w:szCs w:val="30"/>
        </w:rPr>
        <w:t>。</w:t>
      </w:r>
    </w:p>
    <w:p>
      <w:pPr>
        <w:spacing w:line="560" w:lineRule="exact"/>
        <w:ind w:firstLine="602" w:firstLineChars="200"/>
        <w:jc w:val="left"/>
        <w:rPr>
          <w:rFonts w:ascii="Times New Roman" w:hAnsi="Times New Roman" w:eastAsia="仿宋_GB2312"/>
          <w:sz w:val="30"/>
          <w:szCs w:val="30"/>
        </w:rPr>
      </w:pPr>
      <w:r>
        <w:rPr>
          <w:rFonts w:ascii="Times New Roman" w:hAnsi="Times New Roman" w:eastAsia="仿宋_GB2312"/>
          <w:b/>
          <w:bCs/>
          <w:sz w:val="30"/>
          <w:szCs w:val="30"/>
        </w:rPr>
        <w:t>“21</w:t>
      </w:r>
      <w:r>
        <w:rPr>
          <w:rFonts w:hint="eastAsia" w:ascii="Times New Roman" w:hAnsi="Times New Roman" w:eastAsia="仿宋_GB2312"/>
          <w:b/>
          <w:bCs/>
          <w:sz w:val="30"/>
          <w:szCs w:val="30"/>
        </w:rPr>
        <w:t>21</w:t>
      </w:r>
      <w:r>
        <w:rPr>
          <w:rFonts w:ascii="Times New Roman" w:hAnsi="Times New Roman" w:eastAsia="仿宋_GB2312"/>
          <w:b/>
          <w:bCs/>
          <w:sz w:val="30"/>
          <w:szCs w:val="30"/>
        </w:rPr>
        <w:t>”：</w:t>
      </w:r>
      <w:r>
        <w:rPr>
          <w:rFonts w:ascii="Times New Roman" w:hAnsi="Times New Roman" w:eastAsia="仿宋_GB2312"/>
          <w:sz w:val="30"/>
          <w:szCs w:val="30"/>
        </w:rPr>
        <w:t>指21条商业街</w:t>
      </w:r>
      <w:r>
        <w:rPr>
          <w:rFonts w:hint="eastAsia" w:ascii="Times New Roman" w:hAnsi="Times New Roman" w:eastAsia="仿宋_GB2312"/>
          <w:sz w:val="30"/>
          <w:szCs w:val="30"/>
        </w:rPr>
        <w:t>区</w:t>
      </w:r>
      <w:r>
        <w:rPr>
          <w:rFonts w:ascii="Times New Roman" w:hAnsi="Times New Roman" w:eastAsia="仿宋_GB2312"/>
          <w:sz w:val="30"/>
          <w:szCs w:val="30"/>
        </w:rPr>
        <w:t>和</w:t>
      </w:r>
      <w:r>
        <w:rPr>
          <w:rFonts w:hint="eastAsia" w:ascii="Times New Roman" w:hAnsi="Times New Roman" w:eastAsia="仿宋_GB2312"/>
          <w:sz w:val="30"/>
          <w:szCs w:val="30"/>
        </w:rPr>
        <w:t>21</w:t>
      </w:r>
      <w:r>
        <w:rPr>
          <w:rFonts w:ascii="Times New Roman" w:hAnsi="Times New Roman" w:eastAsia="仿宋_GB2312"/>
          <w:sz w:val="30"/>
          <w:szCs w:val="30"/>
        </w:rPr>
        <w:t>个社区商业中心。</w:t>
      </w:r>
    </w:p>
    <w:p>
      <w:pPr>
        <w:spacing w:before="156" w:beforeLines="50" w:after="156" w:afterLines="50" w:line="560" w:lineRule="exact"/>
        <w:ind w:firstLine="602" w:firstLineChars="200"/>
        <w:outlineLvl w:val="1"/>
        <w:rPr>
          <w:rFonts w:hint="eastAsia" w:ascii="黑体" w:hAnsi="黑体" w:eastAsia="黑体"/>
          <w:b/>
          <w:bCs/>
          <w:sz w:val="30"/>
          <w:szCs w:val="30"/>
        </w:rPr>
      </w:pPr>
      <w:bookmarkStart w:id="11" w:name="_Toc183683952"/>
      <w:r>
        <w:rPr>
          <w:rFonts w:hint="eastAsia" w:ascii="黑体" w:hAnsi="黑体" w:eastAsia="黑体"/>
          <w:b/>
          <w:bCs/>
          <w:sz w:val="30"/>
          <w:szCs w:val="30"/>
        </w:rPr>
        <w:t>第二节 商业中心规划</w:t>
      </w:r>
      <w:bookmarkEnd w:id="11"/>
    </w:p>
    <w:p>
      <w:pPr>
        <w:spacing w:line="560" w:lineRule="exact"/>
        <w:ind w:firstLine="602" w:firstLineChars="200"/>
        <w:rPr>
          <w:rFonts w:hint="eastAsia" w:ascii="仿宋_GB2312" w:hAnsi="黑体" w:eastAsia="仿宋_GB2312"/>
          <w:sz w:val="30"/>
          <w:szCs w:val="30"/>
        </w:rPr>
      </w:pPr>
      <w:r>
        <w:rPr>
          <w:rFonts w:hint="eastAsia" w:ascii="仿宋_GB2312" w:hAnsi="黑体" w:eastAsia="仿宋_GB2312"/>
          <w:b/>
          <w:bCs/>
          <w:sz w:val="30"/>
          <w:szCs w:val="30"/>
        </w:rPr>
        <w:t>第十三条</w:t>
      </w:r>
      <w:r>
        <w:rPr>
          <w:rFonts w:hint="eastAsia" w:ascii="仿宋_GB2312" w:hAnsi="黑体" w:eastAsia="仿宋_GB2312"/>
          <w:sz w:val="30"/>
          <w:szCs w:val="30"/>
        </w:rPr>
        <w:t xml:space="preserve"> 商圈体系规划</w:t>
      </w:r>
    </w:p>
    <w:p>
      <w:pPr>
        <w:spacing w:line="560" w:lineRule="exact"/>
        <w:ind w:firstLine="600" w:firstLineChars="200"/>
        <w:rPr>
          <w:rFonts w:hint="eastAsia" w:ascii="仿宋_GB2312" w:hAnsi="黑体" w:eastAsia="仿宋_GB2312"/>
          <w:sz w:val="30"/>
          <w:szCs w:val="30"/>
        </w:rPr>
      </w:pPr>
      <w:r>
        <w:rPr>
          <w:rFonts w:hint="eastAsia" w:ascii="仿宋_GB2312" w:hAnsi="黑体" w:eastAsia="仿宋_GB2312"/>
          <w:sz w:val="30"/>
          <w:szCs w:val="30"/>
        </w:rPr>
        <w:t>构建“3+11”城市商圈体系。其中，城市商业主中心：城隍庙商圈、长治万达商圈、滨湖商圈（新建）；城市商业副中心：八一广场商圈、南广场商圈（新建）、高新区商圈（新建）、文体中心商圈（新建）、凯德世家商圈、新市街商圈、屯留西街商圈、获壁街商圈、潞城金威商圈、摩坊金街商圈、潞城东关商圈（新建）。</w:t>
      </w:r>
    </w:p>
    <w:p>
      <w:pPr>
        <w:spacing w:line="560" w:lineRule="exact"/>
        <w:ind w:firstLine="602" w:firstLineChars="200"/>
        <w:rPr>
          <w:rFonts w:hint="eastAsia" w:ascii="仿宋_GB2312" w:hAnsi="黑体" w:eastAsia="仿宋_GB2312"/>
          <w:b/>
          <w:bCs/>
          <w:sz w:val="30"/>
          <w:szCs w:val="30"/>
        </w:rPr>
      </w:pPr>
      <w:r>
        <w:rPr>
          <w:rFonts w:hint="eastAsia" w:ascii="仿宋_GB2312" w:hAnsi="黑体" w:eastAsia="仿宋_GB2312"/>
          <w:b/>
          <w:bCs/>
          <w:sz w:val="30"/>
          <w:szCs w:val="30"/>
        </w:rPr>
        <w:t xml:space="preserve">第十四条 </w:t>
      </w:r>
      <w:r>
        <w:rPr>
          <w:rFonts w:hint="eastAsia" w:ascii="仿宋_GB2312" w:hAnsi="黑体" w:eastAsia="仿宋_GB2312"/>
          <w:sz w:val="30"/>
          <w:szCs w:val="30"/>
        </w:rPr>
        <w:t>城市商业主中心—城隍庙商圈规划</w:t>
      </w:r>
    </w:p>
    <w:p>
      <w:pPr>
        <w:spacing w:line="560" w:lineRule="exact"/>
        <w:ind w:firstLine="600" w:firstLineChars="200"/>
        <w:rPr>
          <w:rFonts w:hint="eastAsia" w:ascii="仿宋_GB2312" w:hAnsi="黑体" w:eastAsia="仿宋_GB2312"/>
          <w:sz w:val="30"/>
          <w:szCs w:val="30"/>
        </w:rPr>
      </w:pPr>
      <w:r>
        <w:rPr>
          <w:rFonts w:hint="eastAsia" w:ascii="仿宋_GB2312" w:hAnsi="黑体" w:eastAsia="仿宋_GB2312"/>
          <w:sz w:val="30"/>
          <w:szCs w:val="30"/>
        </w:rPr>
        <w:t>1. 功能定位：以“时尚、文化、智慧”为发展路线，打造集国际品牌消费引领、城市历史文脉寻踪、时尚品质生活体验、夜间休闲娱乐体验等功能于一体的城市商业主中心。</w:t>
      </w:r>
    </w:p>
    <w:p>
      <w:pPr>
        <w:spacing w:line="560" w:lineRule="exact"/>
        <w:ind w:firstLine="600" w:firstLineChars="200"/>
        <w:rPr>
          <w:rFonts w:hint="eastAsia" w:ascii="仿宋_GB2312" w:hAnsi="仿宋_GB2312" w:eastAsia="仿宋_GB2312" w:cs="仿宋_GB2312"/>
          <w:sz w:val="30"/>
          <w:szCs w:val="30"/>
        </w:rPr>
      </w:pPr>
      <w:r>
        <w:rPr>
          <w:rFonts w:hint="eastAsia" w:ascii="仿宋_GB2312" w:hAnsi="黑体" w:eastAsia="仿宋_GB2312"/>
          <w:sz w:val="30"/>
          <w:szCs w:val="30"/>
        </w:rPr>
        <w:t>2. 零售商业规模：45万</w:t>
      </w:r>
      <w:r>
        <w:rPr>
          <w:rFonts w:hint="eastAsia" w:ascii="Segoe UI Symbol" w:hAnsi="Segoe UI Symbol" w:eastAsia="Segoe UI Symbol" w:cs="Segoe UI Symbol"/>
          <w:sz w:val="30"/>
          <w:szCs w:val="30"/>
        </w:rPr>
        <w:t>㎡</w:t>
      </w:r>
      <w:r>
        <w:rPr>
          <w:rFonts w:hint="eastAsia" w:ascii="仿宋_GB2312" w:hAnsi="仿宋_GB2312" w:eastAsia="仿宋_GB2312" w:cs="仿宋_GB2312"/>
          <w:sz w:val="30"/>
          <w:szCs w:val="30"/>
        </w:rPr>
        <w:t>以内（含部分商品交易市场功能转换面积）。</w:t>
      </w:r>
    </w:p>
    <w:p>
      <w:pPr>
        <w:spacing w:line="560" w:lineRule="exact"/>
        <w:ind w:firstLine="600" w:firstLineChars="200"/>
        <w:rPr>
          <w:rFonts w:hint="eastAsia" w:ascii="仿宋_GB2312" w:hAnsi="黑体" w:eastAsia="仿宋_GB2312"/>
          <w:sz w:val="30"/>
          <w:szCs w:val="30"/>
        </w:rPr>
      </w:pPr>
      <w:r>
        <w:rPr>
          <w:rFonts w:hint="eastAsia" w:ascii="仿宋_GB2312" w:hAnsi="黑体" w:eastAsia="仿宋_GB2312"/>
          <w:sz w:val="30"/>
          <w:szCs w:val="30"/>
        </w:rPr>
        <w:t>3. 规划引导：推动城隍庙步行街持续提升，梳理商业文化脉络，优化交通组织，升级街区环境和配套设施，引导业态多元化、错位互补发展。推动新市西街片区、英雄台广场片区商品交易市场腾退转型有序进行，鼓励各大商业主体在新供应链、新模式、新服务、新场景等方面持续升级。推动高空置率商业设施通过回购回租等手段集中经营管理，盘活商业空间。推动甜水巷沿线改造更新，打造特色美食街区。依托历史建筑文化资源，提升周边商业运营和景观整治水平，打造夜色经济、街头文化等特色商业引力点。原则上以现有商业设施盘活经营及功能转型为主，控制新建大型商业设施。建立商圈长效发展机制，打造智慧化平台，提升整体运营能力。</w:t>
      </w:r>
    </w:p>
    <w:p>
      <w:pPr>
        <w:spacing w:line="560" w:lineRule="exact"/>
        <w:ind w:firstLine="602" w:firstLineChars="200"/>
        <w:rPr>
          <w:rFonts w:hint="eastAsia" w:ascii="仿宋_GB2312" w:hAnsi="黑体" w:eastAsia="仿宋_GB2312"/>
          <w:sz w:val="30"/>
          <w:szCs w:val="30"/>
        </w:rPr>
      </w:pPr>
      <w:r>
        <w:rPr>
          <w:rFonts w:hint="eastAsia" w:ascii="仿宋_GB2312" w:hAnsi="黑体" w:eastAsia="仿宋_GB2312"/>
          <w:b/>
          <w:bCs/>
          <w:sz w:val="30"/>
          <w:szCs w:val="30"/>
        </w:rPr>
        <w:t xml:space="preserve">第十五条 </w:t>
      </w:r>
      <w:r>
        <w:rPr>
          <w:rFonts w:hint="eastAsia" w:ascii="仿宋_GB2312" w:hAnsi="黑体" w:eastAsia="仿宋_GB2312"/>
          <w:sz w:val="30"/>
          <w:szCs w:val="30"/>
        </w:rPr>
        <w:t>城市商业主中心—滨湖商圈（远期新建）</w:t>
      </w:r>
    </w:p>
    <w:p>
      <w:pPr>
        <w:spacing w:line="560" w:lineRule="exact"/>
        <w:ind w:firstLine="600" w:firstLineChars="200"/>
        <w:rPr>
          <w:rFonts w:hint="eastAsia" w:ascii="仿宋_GB2312" w:hAnsi="黑体" w:eastAsia="仿宋_GB2312"/>
          <w:sz w:val="30"/>
          <w:szCs w:val="30"/>
        </w:rPr>
      </w:pPr>
      <w:r>
        <w:rPr>
          <w:rFonts w:hint="eastAsia" w:ascii="仿宋_GB2312" w:hAnsi="黑体" w:eastAsia="仿宋_GB2312"/>
          <w:sz w:val="30"/>
          <w:szCs w:val="30"/>
        </w:rPr>
        <w:t>1.功能定位：以滨水休闲消费以及国际会展为特色的商业商务融合发展的城市会客厅。</w:t>
      </w:r>
    </w:p>
    <w:p>
      <w:pPr>
        <w:spacing w:line="560" w:lineRule="exact"/>
        <w:ind w:firstLine="600" w:firstLineChars="200"/>
        <w:rPr>
          <w:rFonts w:hint="eastAsia" w:ascii="仿宋_GB2312" w:hAnsi="黑体" w:eastAsia="仿宋_GB2312"/>
          <w:sz w:val="30"/>
          <w:szCs w:val="30"/>
        </w:rPr>
      </w:pPr>
      <w:r>
        <w:rPr>
          <w:rFonts w:hint="eastAsia" w:ascii="仿宋_GB2312" w:hAnsi="黑体" w:eastAsia="仿宋_GB2312"/>
          <w:sz w:val="30"/>
          <w:szCs w:val="30"/>
        </w:rPr>
        <w:t>2.零售商业规模：30万</w:t>
      </w:r>
      <w:r>
        <w:rPr>
          <w:rFonts w:hint="eastAsia" w:ascii="Segoe UI Symbol" w:hAnsi="Segoe UI Symbol" w:eastAsia="Segoe UI Symbol" w:cs="Segoe UI Symbol"/>
          <w:sz w:val="30"/>
          <w:szCs w:val="30"/>
        </w:rPr>
        <w:t>㎡</w:t>
      </w:r>
      <w:r>
        <w:rPr>
          <w:rFonts w:hint="eastAsia" w:ascii="仿宋_GB2312" w:hAnsi="仿宋_GB2312" w:eastAsia="仿宋_GB2312" w:cs="仿宋_GB2312"/>
          <w:sz w:val="30"/>
          <w:szCs w:val="30"/>
        </w:rPr>
        <w:t>以内。</w:t>
      </w:r>
    </w:p>
    <w:p>
      <w:pPr>
        <w:spacing w:line="560" w:lineRule="exact"/>
        <w:ind w:firstLine="600" w:firstLineChars="200"/>
        <w:rPr>
          <w:rFonts w:hint="eastAsia" w:ascii="仿宋_GB2312" w:hAnsi="黑体" w:eastAsia="仿宋_GB2312"/>
          <w:sz w:val="30"/>
          <w:szCs w:val="30"/>
        </w:rPr>
      </w:pPr>
      <w:r>
        <w:rPr>
          <w:rFonts w:hint="eastAsia" w:ascii="仿宋_GB2312" w:hAnsi="黑体" w:eastAsia="仿宋_GB2312"/>
          <w:sz w:val="30"/>
          <w:szCs w:val="30"/>
        </w:rPr>
        <w:t>3.规划引导：引领消费多元化发展，依托城市优质滨水空间，发挥生态景观消费特色商业魅力，打造城市综合休闲娱乐中心。建设商业、艺术、文化、展览等场馆设施，以微度假、文化品鉴、休闲娱乐、品质购物、展览演艺等特色消费为亮点，配套发展星级酒店、主题餐饮、文创零售、奥特莱斯、特色街区、连锁便利店、无人售货等业态，打造商旅文融合的生态休闲特色商圈。</w:t>
      </w:r>
    </w:p>
    <w:p>
      <w:pPr>
        <w:spacing w:line="560" w:lineRule="exact"/>
        <w:ind w:firstLine="602" w:firstLineChars="200"/>
        <w:rPr>
          <w:rFonts w:hint="eastAsia" w:ascii="仿宋_GB2312" w:hAnsi="黑体" w:eastAsia="仿宋_GB2312"/>
          <w:sz w:val="30"/>
          <w:szCs w:val="30"/>
        </w:rPr>
      </w:pPr>
      <w:r>
        <w:rPr>
          <w:rFonts w:hint="eastAsia" w:ascii="仿宋_GB2312" w:hAnsi="黑体" w:eastAsia="仿宋_GB2312"/>
          <w:b/>
          <w:bCs/>
          <w:sz w:val="30"/>
          <w:szCs w:val="30"/>
        </w:rPr>
        <w:t xml:space="preserve">第十六条 </w:t>
      </w:r>
      <w:r>
        <w:rPr>
          <w:rFonts w:hint="eastAsia" w:ascii="仿宋_GB2312" w:hAnsi="黑体" w:eastAsia="仿宋_GB2312"/>
          <w:sz w:val="30"/>
          <w:szCs w:val="30"/>
        </w:rPr>
        <w:t>城市商业主中心—万达商圈</w:t>
      </w:r>
    </w:p>
    <w:p>
      <w:pPr>
        <w:spacing w:line="560" w:lineRule="exact"/>
        <w:ind w:firstLine="600" w:firstLineChars="200"/>
        <w:rPr>
          <w:rFonts w:hint="eastAsia" w:ascii="仿宋_GB2312" w:hAnsi="黑体" w:eastAsia="仿宋_GB2312"/>
          <w:sz w:val="30"/>
          <w:szCs w:val="30"/>
        </w:rPr>
      </w:pPr>
      <w:r>
        <w:rPr>
          <w:rFonts w:hint="eastAsia" w:ascii="仿宋_GB2312" w:hAnsi="黑体" w:eastAsia="仿宋_GB2312"/>
          <w:sz w:val="30"/>
          <w:szCs w:val="30"/>
        </w:rPr>
        <w:t>1.功能定位：具有全市吸引力，以都市休闲与精品购物为主要功能的中高档商圈。</w:t>
      </w:r>
    </w:p>
    <w:p>
      <w:pPr>
        <w:spacing w:line="560" w:lineRule="exact"/>
        <w:ind w:firstLine="600" w:firstLineChars="200"/>
        <w:rPr>
          <w:rFonts w:hint="eastAsia" w:ascii="仿宋_GB2312" w:hAnsi="仿宋_GB2312" w:eastAsia="仿宋_GB2312" w:cs="仿宋_GB2312"/>
          <w:sz w:val="30"/>
          <w:szCs w:val="30"/>
        </w:rPr>
      </w:pPr>
      <w:r>
        <w:rPr>
          <w:rFonts w:hint="eastAsia" w:ascii="仿宋_GB2312" w:hAnsi="黑体" w:eastAsia="仿宋_GB2312"/>
          <w:sz w:val="30"/>
          <w:szCs w:val="30"/>
        </w:rPr>
        <w:t>2.商业规模：30万</w:t>
      </w:r>
      <w:r>
        <w:rPr>
          <w:rFonts w:hint="eastAsia" w:ascii="Segoe UI Symbol" w:hAnsi="Segoe UI Symbol" w:eastAsia="Segoe UI Symbol" w:cs="Segoe UI Symbol"/>
          <w:sz w:val="30"/>
          <w:szCs w:val="30"/>
        </w:rPr>
        <w:t>㎡</w:t>
      </w:r>
      <w:r>
        <w:rPr>
          <w:rFonts w:hint="eastAsia" w:ascii="仿宋_GB2312" w:hAnsi="仿宋_GB2312" w:eastAsia="仿宋_GB2312" w:cs="仿宋_GB2312"/>
          <w:sz w:val="30"/>
          <w:szCs w:val="30"/>
        </w:rPr>
        <w:t>以内。</w:t>
      </w:r>
    </w:p>
    <w:p>
      <w:pPr>
        <w:spacing w:line="560" w:lineRule="exact"/>
        <w:ind w:firstLine="600" w:firstLineChars="200"/>
        <w:rPr>
          <w:rFonts w:hint="eastAsia" w:ascii="仿宋_GB2312" w:hAnsi="黑体" w:eastAsia="仿宋_GB2312"/>
          <w:sz w:val="30"/>
          <w:szCs w:val="30"/>
        </w:rPr>
      </w:pPr>
      <w:r>
        <w:rPr>
          <w:rFonts w:hint="eastAsia" w:ascii="仿宋_GB2312" w:hAnsi="黑体" w:eastAsia="仿宋_GB2312"/>
          <w:sz w:val="30"/>
          <w:szCs w:val="30"/>
        </w:rPr>
        <w:t>3.规划引导：该商圈以万达广场和居然之家两处大型网点为主体，推动西侧地块城市更新，以高标准集聚优质商业资源，拔高城市消费供给品质。引导地下空间、地上空间以及弹性商业空间统筹发展，创新商业场景，连通英雄北路两侧商业功能，注重提升商圈慢行系统舒适度，打造有机商圈。建设集时尚消费、亲子娱乐、商务服务、住宿餐饮、文化体验等多功能于一体多功能聚合的综合型商圈。</w:t>
      </w:r>
    </w:p>
    <w:p>
      <w:pPr>
        <w:spacing w:line="560" w:lineRule="exact"/>
        <w:ind w:firstLine="602" w:firstLineChars="200"/>
        <w:rPr>
          <w:rFonts w:hint="eastAsia" w:ascii="仿宋_GB2312" w:hAnsi="仿宋_GB2312" w:eastAsia="仿宋_GB2312" w:cs="仿宋_GB2312"/>
          <w:sz w:val="30"/>
          <w:szCs w:val="30"/>
        </w:rPr>
      </w:pPr>
      <w:r>
        <w:rPr>
          <w:rFonts w:hint="eastAsia" w:ascii="仿宋_GB2312" w:hAnsi="黑体" w:eastAsia="仿宋_GB2312"/>
          <w:b/>
          <w:bCs/>
          <w:sz w:val="30"/>
          <w:szCs w:val="30"/>
        </w:rPr>
        <w:t xml:space="preserve">第十七条 </w:t>
      </w:r>
      <w:r>
        <w:rPr>
          <w:rFonts w:hint="eastAsia" w:ascii="仿宋_GB2312" w:hAnsi="黑体" w:eastAsia="仿宋_GB2312"/>
          <w:sz w:val="30"/>
          <w:szCs w:val="30"/>
        </w:rPr>
        <w:t>城市</w:t>
      </w:r>
      <w:r>
        <w:rPr>
          <w:rFonts w:hint="eastAsia" w:ascii="仿宋_GB2312" w:hAnsi="仿宋_GB2312" w:eastAsia="仿宋_GB2312" w:cs="仿宋_GB2312"/>
          <w:sz w:val="30"/>
          <w:szCs w:val="30"/>
        </w:rPr>
        <w:t>商业副中心规划引导</w:t>
      </w:r>
    </w:p>
    <w:p>
      <w:pPr>
        <w:spacing w:line="56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规划建设培育城市商业副中心（片区级商圈）共11个，具体见下表。</w:t>
      </w:r>
    </w:p>
    <w:p>
      <w:pPr>
        <w:spacing w:before="156" w:beforeLines="50"/>
        <w:jc w:val="center"/>
        <w:rPr>
          <w:rFonts w:hint="eastAsia" w:ascii="楷体" w:hAnsi="楷体" w:eastAsia="楷体" w:cs="仿宋_GB2312"/>
          <w:sz w:val="24"/>
          <w:szCs w:val="24"/>
        </w:rPr>
      </w:pPr>
      <w:r>
        <w:rPr>
          <w:rFonts w:hint="eastAsia" w:ascii="楷体" w:hAnsi="楷体" w:eastAsia="楷体"/>
          <w:sz w:val="24"/>
          <w:szCs w:val="24"/>
        </w:rPr>
        <w:t>表</w:t>
      </w:r>
      <w:r>
        <w:rPr>
          <w:rFonts w:hint="eastAsia" w:ascii="Times New Roman" w:hAnsi="Times New Roman" w:eastAsia="楷体_GB2312"/>
          <w:sz w:val="24"/>
          <w:szCs w:val="30"/>
        </w:rPr>
        <w:t>3-2-1</w:t>
      </w:r>
      <w:r>
        <w:rPr>
          <w:rFonts w:hint="eastAsia" w:ascii="楷体" w:hAnsi="楷体" w:eastAsia="楷体" w:cs="仿宋_GB2312"/>
          <w:sz w:val="24"/>
          <w:szCs w:val="24"/>
        </w:rPr>
        <w:t xml:space="preserve"> </w:t>
      </w:r>
      <w:r>
        <w:rPr>
          <w:rFonts w:hint="eastAsia" w:ascii="楷体" w:hAnsi="楷体" w:eastAsia="楷体"/>
          <w:sz w:val="24"/>
          <w:szCs w:val="24"/>
        </w:rPr>
        <w:t>城市商业副中心（片区级商圈）规划表</w:t>
      </w:r>
    </w:p>
    <w:tbl>
      <w:tblPr>
        <w:tblStyle w:val="19"/>
        <w:tblW w:w="5000" w:type="pct"/>
        <w:tblInd w:w="0" w:type="dxa"/>
        <w:tblLayout w:type="autofit"/>
        <w:tblCellMar>
          <w:top w:w="0" w:type="dxa"/>
          <w:left w:w="0" w:type="dxa"/>
          <w:bottom w:w="0" w:type="dxa"/>
          <w:right w:w="0" w:type="dxa"/>
        </w:tblCellMar>
      </w:tblPr>
      <w:tblGrid>
        <w:gridCol w:w="401"/>
        <w:gridCol w:w="1213"/>
        <w:gridCol w:w="2853"/>
        <w:gridCol w:w="2856"/>
        <w:gridCol w:w="999"/>
      </w:tblGrid>
      <w:tr>
        <w:tblPrEx>
          <w:tblCellMar>
            <w:top w:w="0" w:type="dxa"/>
            <w:left w:w="0" w:type="dxa"/>
            <w:bottom w:w="0" w:type="dxa"/>
            <w:right w:w="0" w:type="dxa"/>
          </w:tblCellMar>
        </w:tblPrEx>
        <w:trPr>
          <w:cantSplit/>
          <w:trHeight w:val="454" w:hRule="atLeast"/>
          <w:tblHeader/>
        </w:trPr>
        <w:tc>
          <w:tcPr>
            <w:tcW w:w="241" w:type="pct"/>
            <w:tcBorders>
              <w:top w:val="single" w:color="000000" w:sz="6" w:space="0"/>
              <w:left w:val="single" w:color="000000" w:sz="6" w:space="0"/>
              <w:bottom w:val="single" w:color="auto" w:sz="4" w:space="0"/>
              <w:right w:val="single" w:color="000000" w:sz="6" w:space="0"/>
            </w:tcBorders>
            <w:shd w:val="clear" w:color="auto" w:fill="auto"/>
            <w:tcMar>
              <w:top w:w="8" w:type="dxa"/>
              <w:left w:w="8" w:type="dxa"/>
              <w:bottom w:w="0" w:type="dxa"/>
              <w:right w:w="8" w:type="dxa"/>
            </w:tcMar>
            <w:vAlign w:val="center"/>
          </w:tcPr>
          <w:p>
            <w:pPr>
              <w:widowControl/>
              <w:jc w:val="center"/>
              <w:rPr>
                <w:rFonts w:hint="eastAsia" w:ascii="宋体" w:hAnsi="宋体" w:cs="宋体"/>
                <w:kern w:val="0"/>
                <w:szCs w:val="21"/>
              </w:rPr>
            </w:pPr>
            <w:r>
              <w:rPr>
                <w:rFonts w:hint="eastAsia" w:ascii="宋体" w:hAnsi="宋体" w:cs="宋体"/>
                <w:b/>
                <w:bCs/>
                <w:color w:val="000000"/>
                <w:kern w:val="0"/>
                <w:szCs w:val="21"/>
              </w:rPr>
              <w:t>区属</w:t>
            </w:r>
          </w:p>
        </w:tc>
        <w:tc>
          <w:tcPr>
            <w:tcW w:w="729" w:type="pct"/>
            <w:tcBorders>
              <w:top w:val="single" w:color="000000" w:sz="6" w:space="0"/>
              <w:left w:val="single" w:color="000000" w:sz="6" w:space="0"/>
              <w:bottom w:val="single" w:color="000000" w:sz="6" w:space="0"/>
              <w:right w:val="single" w:color="000000" w:sz="6" w:space="0"/>
            </w:tcBorders>
            <w:shd w:val="clear" w:color="auto" w:fill="auto"/>
            <w:tcMar>
              <w:top w:w="8" w:type="dxa"/>
              <w:left w:w="8" w:type="dxa"/>
              <w:bottom w:w="0" w:type="dxa"/>
              <w:right w:w="8" w:type="dxa"/>
            </w:tcMar>
            <w:vAlign w:val="center"/>
          </w:tcPr>
          <w:p>
            <w:pPr>
              <w:widowControl/>
              <w:jc w:val="center"/>
              <w:rPr>
                <w:rFonts w:hint="eastAsia" w:ascii="宋体" w:hAnsi="宋体" w:cs="宋体"/>
                <w:kern w:val="0"/>
                <w:szCs w:val="21"/>
              </w:rPr>
            </w:pPr>
            <w:r>
              <w:rPr>
                <w:rFonts w:hint="eastAsia" w:ascii="宋体" w:hAnsi="宋体" w:cs="宋体"/>
                <w:b/>
                <w:bCs/>
                <w:color w:val="000000"/>
                <w:kern w:val="0"/>
                <w:szCs w:val="21"/>
              </w:rPr>
              <w:t>商圈名称</w:t>
            </w:r>
          </w:p>
        </w:tc>
        <w:tc>
          <w:tcPr>
            <w:tcW w:w="1714" w:type="pct"/>
            <w:tcBorders>
              <w:top w:val="single" w:color="000000" w:sz="6" w:space="0"/>
              <w:left w:val="single" w:color="000000" w:sz="6" w:space="0"/>
              <w:bottom w:val="single" w:color="000000" w:sz="6" w:space="0"/>
              <w:right w:val="single" w:color="000000" w:sz="6" w:space="0"/>
            </w:tcBorders>
            <w:shd w:val="clear" w:color="auto" w:fill="auto"/>
            <w:tcMar>
              <w:top w:w="8" w:type="dxa"/>
              <w:left w:w="8" w:type="dxa"/>
              <w:bottom w:w="0" w:type="dxa"/>
              <w:right w:w="8" w:type="dxa"/>
            </w:tcMar>
            <w:vAlign w:val="center"/>
          </w:tcPr>
          <w:p>
            <w:pPr>
              <w:widowControl/>
              <w:jc w:val="center"/>
              <w:rPr>
                <w:rFonts w:hint="eastAsia" w:ascii="宋体" w:hAnsi="宋体" w:cs="宋体"/>
                <w:kern w:val="0"/>
                <w:szCs w:val="21"/>
              </w:rPr>
            </w:pPr>
            <w:r>
              <w:rPr>
                <w:rFonts w:hint="eastAsia" w:ascii="宋体" w:hAnsi="宋体" w:cs="宋体"/>
                <w:b/>
                <w:bCs/>
                <w:color w:val="000000"/>
                <w:kern w:val="0"/>
                <w:szCs w:val="21"/>
              </w:rPr>
              <w:t>功能定位</w:t>
            </w:r>
          </w:p>
        </w:tc>
        <w:tc>
          <w:tcPr>
            <w:tcW w:w="1716" w:type="pct"/>
            <w:tcBorders>
              <w:top w:val="single" w:color="000000" w:sz="6" w:space="0"/>
              <w:left w:val="single" w:color="000000" w:sz="6" w:space="0"/>
              <w:bottom w:val="single" w:color="000000" w:sz="6" w:space="0"/>
              <w:right w:val="single" w:color="000000" w:sz="6" w:space="0"/>
            </w:tcBorders>
            <w:shd w:val="clear" w:color="auto" w:fill="auto"/>
            <w:tcMar>
              <w:top w:w="8" w:type="dxa"/>
              <w:left w:w="8" w:type="dxa"/>
              <w:bottom w:w="0" w:type="dxa"/>
              <w:right w:w="8" w:type="dxa"/>
            </w:tcMar>
            <w:vAlign w:val="center"/>
          </w:tcPr>
          <w:p>
            <w:pPr>
              <w:widowControl/>
              <w:jc w:val="center"/>
              <w:rPr>
                <w:rFonts w:hint="eastAsia" w:ascii="宋体" w:hAnsi="宋体" w:cs="宋体"/>
                <w:b/>
                <w:bCs/>
                <w:kern w:val="0"/>
                <w:szCs w:val="21"/>
              </w:rPr>
            </w:pPr>
            <w:r>
              <w:rPr>
                <w:rFonts w:hint="eastAsia" w:ascii="宋体" w:hAnsi="宋体" w:cs="宋体"/>
                <w:b/>
                <w:bCs/>
                <w:kern w:val="0"/>
                <w:szCs w:val="21"/>
              </w:rPr>
              <w:t>规划引导</w:t>
            </w:r>
          </w:p>
        </w:tc>
        <w:tc>
          <w:tcPr>
            <w:tcW w:w="600" w:type="pct"/>
            <w:tcBorders>
              <w:top w:val="single" w:color="000000" w:sz="6" w:space="0"/>
              <w:left w:val="single" w:color="000000" w:sz="6" w:space="0"/>
              <w:bottom w:val="single" w:color="000000" w:sz="6" w:space="0"/>
              <w:right w:val="single" w:color="000000" w:sz="6" w:space="0"/>
            </w:tcBorders>
            <w:vAlign w:val="center"/>
          </w:tcPr>
          <w:p>
            <w:pPr>
              <w:widowControl/>
              <w:jc w:val="center"/>
              <w:rPr>
                <w:rFonts w:hint="eastAsia" w:ascii="宋体" w:hAnsi="宋体" w:cs="宋体"/>
                <w:b/>
                <w:bCs/>
                <w:kern w:val="0"/>
                <w:szCs w:val="21"/>
              </w:rPr>
            </w:pPr>
            <w:r>
              <w:rPr>
                <w:rFonts w:hint="eastAsia" w:ascii="宋体" w:hAnsi="宋体" w:cs="宋体"/>
                <w:b/>
                <w:bCs/>
                <w:kern w:val="0"/>
                <w:szCs w:val="21"/>
              </w:rPr>
              <w:t>规划时序</w:t>
            </w:r>
          </w:p>
        </w:tc>
      </w:tr>
      <w:tr>
        <w:tblPrEx>
          <w:tblCellMar>
            <w:top w:w="0" w:type="dxa"/>
            <w:left w:w="0" w:type="dxa"/>
            <w:bottom w:w="0" w:type="dxa"/>
            <w:right w:w="0" w:type="dxa"/>
          </w:tblCellMar>
        </w:tblPrEx>
        <w:trPr>
          <w:cantSplit/>
          <w:trHeight w:val="454" w:hRule="atLeast"/>
        </w:trPr>
        <w:tc>
          <w:tcPr>
            <w:tcW w:w="241" w:type="pct"/>
            <w:vMerge w:val="restart"/>
            <w:tcBorders>
              <w:top w:val="single" w:color="auto" w:sz="4" w:space="0"/>
              <w:left w:val="single" w:color="000000" w:sz="6" w:space="0"/>
              <w:bottom w:val="single" w:color="000000" w:sz="6" w:space="0"/>
              <w:right w:val="single" w:color="000000" w:sz="6" w:space="0"/>
            </w:tcBorders>
            <w:shd w:val="clear" w:color="auto" w:fill="auto"/>
            <w:tcMar>
              <w:top w:w="8" w:type="dxa"/>
              <w:left w:w="8" w:type="dxa"/>
              <w:bottom w:w="0" w:type="dxa"/>
              <w:right w:w="8" w:type="dxa"/>
            </w:tcMar>
            <w:vAlign w:val="center"/>
          </w:tcPr>
          <w:p>
            <w:pPr>
              <w:widowControl/>
              <w:jc w:val="center"/>
              <w:rPr>
                <w:rFonts w:hint="eastAsia" w:ascii="宋体" w:hAnsi="宋体" w:cs="宋体"/>
                <w:kern w:val="0"/>
                <w:szCs w:val="21"/>
              </w:rPr>
            </w:pPr>
            <w:r>
              <w:rPr>
                <w:rFonts w:hint="eastAsia" w:ascii="宋体" w:hAnsi="宋体" w:cs="宋体"/>
                <w:color w:val="000000"/>
                <w:kern w:val="0"/>
                <w:szCs w:val="21"/>
              </w:rPr>
              <w:t>潞州</w:t>
            </w:r>
          </w:p>
        </w:tc>
        <w:tc>
          <w:tcPr>
            <w:tcW w:w="729" w:type="pct"/>
            <w:tcBorders>
              <w:top w:val="single" w:color="000000" w:sz="6" w:space="0"/>
              <w:left w:val="single" w:color="000000" w:sz="6" w:space="0"/>
              <w:bottom w:val="single" w:color="000000" w:sz="6" w:space="0"/>
              <w:right w:val="single" w:color="000000" w:sz="6" w:space="0"/>
            </w:tcBorders>
            <w:shd w:val="clear" w:color="auto" w:fill="auto"/>
            <w:tcMar>
              <w:top w:w="8" w:type="dxa"/>
              <w:left w:w="8" w:type="dxa"/>
              <w:bottom w:w="0" w:type="dxa"/>
              <w:right w:w="8" w:type="dxa"/>
            </w:tcMar>
            <w:vAlign w:val="center"/>
          </w:tcPr>
          <w:p>
            <w:pPr>
              <w:widowControl/>
              <w:jc w:val="center"/>
              <w:rPr>
                <w:rFonts w:hint="eastAsia" w:ascii="宋体" w:hAnsi="宋体" w:cs="宋体"/>
                <w:kern w:val="0"/>
                <w:szCs w:val="21"/>
              </w:rPr>
            </w:pPr>
            <w:r>
              <w:rPr>
                <w:rFonts w:hint="eastAsia" w:ascii="宋体" w:hAnsi="宋体" w:cs="宋体"/>
                <w:color w:val="000000"/>
                <w:kern w:val="0"/>
                <w:szCs w:val="21"/>
              </w:rPr>
              <w:t>八一广场商圈</w:t>
            </w:r>
          </w:p>
        </w:tc>
        <w:tc>
          <w:tcPr>
            <w:tcW w:w="1714" w:type="pct"/>
            <w:tcBorders>
              <w:top w:val="single" w:color="000000" w:sz="6" w:space="0"/>
              <w:left w:val="single" w:color="000000" w:sz="6" w:space="0"/>
              <w:bottom w:val="single" w:color="000000" w:sz="6" w:space="0"/>
              <w:right w:val="single" w:color="000000" w:sz="6" w:space="0"/>
            </w:tcBorders>
            <w:shd w:val="clear" w:color="auto" w:fill="auto"/>
            <w:tcMar>
              <w:top w:w="8" w:type="dxa"/>
              <w:left w:w="8" w:type="dxa"/>
              <w:bottom w:w="0" w:type="dxa"/>
              <w:right w:w="8" w:type="dxa"/>
            </w:tcMar>
            <w:vAlign w:val="center"/>
          </w:tcPr>
          <w:p>
            <w:pPr>
              <w:widowControl/>
              <w:jc w:val="left"/>
              <w:rPr>
                <w:rFonts w:hint="eastAsia" w:ascii="宋体" w:hAnsi="宋体" w:cs="宋体"/>
                <w:kern w:val="0"/>
                <w:szCs w:val="21"/>
              </w:rPr>
            </w:pPr>
            <w:r>
              <w:rPr>
                <w:rFonts w:hint="eastAsia" w:ascii="宋体" w:hAnsi="宋体" w:cs="宋体"/>
                <w:color w:val="000000"/>
                <w:kern w:val="0"/>
                <w:szCs w:val="21"/>
              </w:rPr>
              <w:t>以八一广场和太行公园为标志，以片区居民为主要服务对象的综合型城市商圈。</w:t>
            </w:r>
          </w:p>
        </w:tc>
        <w:tc>
          <w:tcPr>
            <w:tcW w:w="1716" w:type="pct"/>
            <w:tcBorders>
              <w:top w:val="single" w:color="000000" w:sz="6" w:space="0"/>
              <w:left w:val="single" w:color="000000" w:sz="6" w:space="0"/>
              <w:bottom w:val="single" w:color="000000" w:sz="6" w:space="0"/>
              <w:right w:val="single" w:color="000000" w:sz="6" w:space="0"/>
            </w:tcBorders>
            <w:shd w:val="clear" w:color="auto" w:fill="auto"/>
            <w:tcMar>
              <w:top w:w="8" w:type="dxa"/>
              <w:left w:w="8" w:type="dxa"/>
              <w:bottom w:w="0" w:type="dxa"/>
              <w:right w:w="8" w:type="dxa"/>
            </w:tcMar>
            <w:vAlign w:val="center"/>
          </w:tcPr>
          <w:p>
            <w:pPr>
              <w:widowControl/>
              <w:jc w:val="left"/>
              <w:rPr>
                <w:rFonts w:hint="eastAsia" w:ascii="宋体" w:hAnsi="宋体" w:cs="宋体"/>
                <w:kern w:val="0"/>
                <w:szCs w:val="21"/>
              </w:rPr>
            </w:pPr>
            <w:r>
              <w:rPr>
                <w:rFonts w:hint="eastAsia" w:ascii="宋体" w:hAnsi="宋体" w:cs="宋体"/>
                <w:kern w:val="0"/>
                <w:szCs w:val="21"/>
              </w:rPr>
              <w:t>推动百货大楼改造升级，提升天空之城街区运营水平，推动商业与公共空间联动发展。</w:t>
            </w:r>
          </w:p>
        </w:tc>
        <w:tc>
          <w:tcPr>
            <w:tcW w:w="600" w:type="pct"/>
            <w:tcBorders>
              <w:top w:val="single" w:color="000000" w:sz="6" w:space="0"/>
              <w:left w:val="single" w:color="000000" w:sz="6" w:space="0"/>
              <w:bottom w:val="single" w:color="000000" w:sz="6" w:space="0"/>
              <w:right w:val="single" w:color="000000" w:sz="6" w:space="0"/>
            </w:tcBorders>
            <w:vAlign w:val="center"/>
          </w:tcPr>
          <w:p>
            <w:pPr>
              <w:widowControl/>
              <w:jc w:val="center"/>
              <w:rPr>
                <w:rFonts w:hint="eastAsia" w:ascii="宋体" w:hAnsi="宋体" w:cs="宋体"/>
                <w:kern w:val="0"/>
                <w:szCs w:val="21"/>
              </w:rPr>
            </w:pPr>
            <w:r>
              <w:rPr>
                <w:rFonts w:hint="eastAsia" w:ascii="宋体" w:hAnsi="宋体" w:cs="宋体"/>
                <w:kern w:val="0"/>
                <w:szCs w:val="21"/>
              </w:rPr>
              <w:t>-</w:t>
            </w:r>
          </w:p>
        </w:tc>
      </w:tr>
      <w:tr>
        <w:tblPrEx>
          <w:tblCellMar>
            <w:top w:w="0" w:type="dxa"/>
            <w:left w:w="0" w:type="dxa"/>
            <w:bottom w:w="0" w:type="dxa"/>
            <w:right w:w="0" w:type="dxa"/>
          </w:tblCellMar>
        </w:tblPrEx>
        <w:trPr>
          <w:cantSplit/>
          <w:trHeight w:val="454" w:hRule="atLeast"/>
        </w:trPr>
        <w:tc>
          <w:tcPr>
            <w:tcW w:w="241" w:type="pct"/>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jc w:val="center"/>
              <w:rPr>
                <w:rFonts w:hint="eastAsia" w:ascii="宋体" w:hAnsi="宋体" w:cs="宋体"/>
                <w:kern w:val="0"/>
                <w:szCs w:val="21"/>
              </w:rPr>
            </w:pPr>
          </w:p>
        </w:tc>
        <w:tc>
          <w:tcPr>
            <w:tcW w:w="729" w:type="pct"/>
            <w:tcBorders>
              <w:top w:val="single" w:color="000000" w:sz="6" w:space="0"/>
              <w:left w:val="single" w:color="000000" w:sz="6" w:space="0"/>
              <w:bottom w:val="single" w:color="000000" w:sz="6" w:space="0"/>
              <w:right w:val="single" w:color="000000" w:sz="6" w:space="0"/>
            </w:tcBorders>
            <w:shd w:val="clear" w:color="auto" w:fill="auto"/>
            <w:tcMar>
              <w:top w:w="8" w:type="dxa"/>
              <w:left w:w="8" w:type="dxa"/>
              <w:bottom w:w="0" w:type="dxa"/>
              <w:right w:w="8" w:type="dxa"/>
            </w:tcMar>
            <w:vAlign w:val="center"/>
          </w:tcPr>
          <w:p>
            <w:pPr>
              <w:widowControl/>
              <w:jc w:val="center"/>
              <w:rPr>
                <w:rFonts w:hint="eastAsia" w:ascii="宋体" w:hAnsi="宋体" w:cs="宋体"/>
                <w:kern w:val="0"/>
                <w:szCs w:val="21"/>
              </w:rPr>
            </w:pPr>
            <w:r>
              <w:rPr>
                <w:rFonts w:hint="eastAsia" w:ascii="宋体" w:hAnsi="宋体" w:cs="宋体"/>
                <w:kern w:val="0"/>
                <w:szCs w:val="21"/>
              </w:rPr>
              <w:t>高新区商圈</w:t>
            </w:r>
          </w:p>
        </w:tc>
        <w:tc>
          <w:tcPr>
            <w:tcW w:w="1714" w:type="pct"/>
            <w:tcBorders>
              <w:top w:val="single" w:color="000000" w:sz="6" w:space="0"/>
              <w:left w:val="single" w:color="000000" w:sz="6" w:space="0"/>
              <w:bottom w:val="single" w:color="000000" w:sz="6" w:space="0"/>
              <w:right w:val="single" w:color="000000" w:sz="6" w:space="0"/>
            </w:tcBorders>
            <w:shd w:val="clear" w:color="auto" w:fill="auto"/>
            <w:tcMar>
              <w:top w:w="8" w:type="dxa"/>
              <w:left w:w="8" w:type="dxa"/>
              <w:bottom w:w="0" w:type="dxa"/>
              <w:right w:w="8" w:type="dxa"/>
            </w:tcMar>
            <w:vAlign w:val="center"/>
          </w:tcPr>
          <w:p>
            <w:pPr>
              <w:widowControl/>
              <w:jc w:val="left"/>
              <w:rPr>
                <w:rFonts w:hint="eastAsia" w:ascii="宋体" w:hAnsi="宋体" w:cs="宋体"/>
                <w:kern w:val="0"/>
                <w:szCs w:val="21"/>
              </w:rPr>
            </w:pPr>
            <w:r>
              <w:rPr>
                <w:rFonts w:hint="eastAsia" w:ascii="宋体" w:hAnsi="宋体" w:cs="宋体"/>
                <w:color w:val="000000"/>
                <w:kern w:val="0"/>
                <w:szCs w:val="21"/>
              </w:rPr>
              <w:t>服务长治东站客运枢纽以及高新区北部片区的综合型商圈。</w:t>
            </w:r>
          </w:p>
        </w:tc>
        <w:tc>
          <w:tcPr>
            <w:tcW w:w="1716" w:type="pct"/>
            <w:tcBorders>
              <w:top w:val="single" w:color="000000" w:sz="6" w:space="0"/>
              <w:left w:val="single" w:color="000000" w:sz="6" w:space="0"/>
              <w:bottom w:val="single" w:color="000000" w:sz="6" w:space="0"/>
              <w:right w:val="single" w:color="000000" w:sz="6" w:space="0"/>
            </w:tcBorders>
            <w:shd w:val="clear" w:color="auto" w:fill="auto"/>
            <w:tcMar>
              <w:top w:w="8" w:type="dxa"/>
              <w:left w:w="8" w:type="dxa"/>
              <w:bottom w:w="0" w:type="dxa"/>
              <w:right w:w="8" w:type="dxa"/>
            </w:tcMar>
            <w:vAlign w:val="center"/>
          </w:tcPr>
          <w:p>
            <w:pPr>
              <w:widowControl/>
              <w:jc w:val="left"/>
              <w:rPr>
                <w:rFonts w:hint="eastAsia" w:ascii="宋体" w:hAnsi="宋体" w:cs="宋体"/>
                <w:kern w:val="0"/>
                <w:szCs w:val="21"/>
              </w:rPr>
            </w:pPr>
            <w:r>
              <w:rPr>
                <w:rFonts w:hint="eastAsia" w:ascii="宋体" w:hAnsi="宋体" w:cs="宋体"/>
                <w:kern w:val="0"/>
                <w:szCs w:val="21"/>
              </w:rPr>
              <w:t>高起点策划建设，带动片区开发，兼顾商业商务与旅游集散中心功能。</w:t>
            </w:r>
          </w:p>
        </w:tc>
        <w:tc>
          <w:tcPr>
            <w:tcW w:w="600" w:type="pct"/>
            <w:tcBorders>
              <w:top w:val="single" w:color="000000" w:sz="6" w:space="0"/>
              <w:left w:val="single" w:color="000000" w:sz="6" w:space="0"/>
              <w:bottom w:val="single" w:color="000000" w:sz="6" w:space="0"/>
              <w:right w:val="single" w:color="000000" w:sz="6" w:space="0"/>
            </w:tcBorders>
            <w:vAlign w:val="center"/>
          </w:tcPr>
          <w:p>
            <w:pPr>
              <w:widowControl/>
              <w:jc w:val="center"/>
              <w:rPr>
                <w:rFonts w:hint="eastAsia" w:ascii="宋体" w:hAnsi="宋体" w:cs="宋体"/>
                <w:kern w:val="0"/>
                <w:szCs w:val="21"/>
              </w:rPr>
            </w:pPr>
            <w:r>
              <w:rPr>
                <w:rFonts w:hint="eastAsia" w:ascii="宋体" w:hAnsi="宋体" w:cs="宋体"/>
                <w:kern w:val="0"/>
                <w:szCs w:val="21"/>
              </w:rPr>
              <w:t>远期新建</w:t>
            </w:r>
          </w:p>
        </w:tc>
      </w:tr>
      <w:tr>
        <w:tblPrEx>
          <w:tblCellMar>
            <w:top w:w="0" w:type="dxa"/>
            <w:left w:w="0" w:type="dxa"/>
            <w:bottom w:w="0" w:type="dxa"/>
            <w:right w:w="0" w:type="dxa"/>
          </w:tblCellMar>
        </w:tblPrEx>
        <w:trPr>
          <w:cantSplit/>
          <w:trHeight w:val="454" w:hRule="atLeast"/>
        </w:trPr>
        <w:tc>
          <w:tcPr>
            <w:tcW w:w="241" w:type="pct"/>
            <w:vMerge w:val="continue"/>
            <w:tcBorders>
              <w:top w:val="single" w:color="000000" w:sz="6" w:space="0"/>
              <w:left w:val="single" w:color="000000" w:sz="6" w:space="0"/>
              <w:bottom w:val="single" w:color="auto" w:sz="4" w:space="0"/>
              <w:right w:val="single" w:color="000000" w:sz="6" w:space="0"/>
            </w:tcBorders>
            <w:shd w:val="clear" w:color="auto" w:fill="auto"/>
            <w:vAlign w:val="center"/>
          </w:tcPr>
          <w:p>
            <w:pPr>
              <w:widowControl/>
              <w:jc w:val="center"/>
              <w:rPr>
                <w:rFonts w:hint="eastAsia" w:ascii="宋体" w:hAnsi="宋体" w:cs="宋体"/>
                <w:kern w:val="0"/>
                <w:szCs w:val="21"/>
              </w:rPr>
            </w:pPr>
          </w:p>
        </w:tc>
        <w:tc>
          <w:tcPr>
            <w:tcW w:w="729" w:type="pct"/>
            <w:tcBorders>
              <w:top w:val="single" w:color="000000" w:sz="6" w:space="0"/>
              <w:left w:val="single" w:color="000000" w:sz="6" w:space="0"/>
              <w:bottom w:val="single" w:color="000000" w:sz="6" w:space="0"/>
              <w:right w:val="single" w:color="000000" w:sz="6" w:space="0"/>
            </w:tcBorders>
            <w:shd w:val="clear" w:color="auto" w:fill="auto"/>
            <w:tcMar>
              <w:top w:w="8" w:type="dxa"/>
              <w:left w:w="8" w:type="dxa"/>
              <w:bottom w:w="0" w:type="dxa"/>
              <w:right w:w="8" w:type="dxa"/>
            </w:tcMar>
            <w:vAlign w:val="center"/>
          </w:tcPr>
          <w:p>
            <w:pPr>
              <w:widowControl/>
              <w:jc w:val="center"/>
              <w:rPr>
                <w:rFonts w:hint="eastAsia" w:ascii="宋体" w:hAnsi="宋体" w:cs="宋体"/>
                <w:kern w:val="0"/>
                <w:szCs w:val="21"/>
              </w:rPr>
            </w:pPr>
            <w:r>
              <w:rPr>
                <w:rFonts w:hint="eastAsia" w:ascii="宋体" w:hAnsi="宋体" w:cs="宋体"/>
                <w:kern w:val="0"/>
                <w:szCs w:val="21"/>
              </w:rPr>
              <w:t>文体中心商圈</w:t>
            </w:r>
          </w:p>
        </w:tc>
        <w:tc>
          <w:tcPr>
            <w:tcW w:w="1714" w:type="pct"/>
            <w:tcBorders>
              <w:top w:val="single" w:color="000000" w:sz="6" w:space="0"/>
              <w:left w:val="single" w:color="000000" w:sz="6" w:space="0"/>
              <w:bottom w:val="single" w:color="000000" w:sz="6" w:space="0"/>
              <w:right w:val="single" w:color="000000" w:sz="6" w:space="0"/>
            </w:tcBorders>
            <w:shd w:val="clear" w:color="auto" w:fill="auto"/>
            <w:tcMar>
              <w:top w:w="8" w:type="dxa"/>
              <w:left w:w="8" w:type="dxa"/>
              <w:bottom w:w="0" w:type="dxa"/>
              <w:right w:w="8" w:type="dxa"/>
            </w:tcMar>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服务于漳泽湖及文体中心游客以及片区居民的综合型商圈。</w:t>
            </w:r>
          </w:p>
        </w:tc>
        <w:tc>
          <w:tcPr>
            <w:tcW w:w="1716" w:type="pct"/>
            <w:tcBorders>
              <w:top w:val="single" w:color="000000" w:sz="6" w:space="0"/>
              <w:left w:val="single" w:color="000000" w:sz="6" w:space="0"/>
              <w:bottom w:val="single" w:color="000000" w:sz="6" w:space="0"/>
              <w:right w:val="single" w:color="000000" w:sz="6" w:space="0"/>
            </w:tcBorders>
            <w:shd w:val="clear" w:color="auto" w:fill="auto"/>
            <w:tcMar>
              <w:top w:w="8" w:type="dxa"/>
              <w:left w:w="8" w:type="dxa"/>
              <w:bottom w:w="0" w:type="dxa"/>
              <w:right w:w="8" w:type="dxa"/>
            </w:tcMar>
            <w:vAlign w:val="center"/>
          </w:tcPr>
          <w:p>
            <w:pPr>
              <w:widowControl/>
              <w:jc w:val="left"/>
              <w:rPr>
                <w:rFonts w:hint="eastAsia" w:ascii="宋体" w:hAnsi="宋体" w:cs="宋体"/>
                <w:kern w:val="0"/>
                <w:szCs w:val="21"/>
              </w:rPr>
            </w:pPr>
            <w:r>
              <w:rPr>
                <w:rFonts w:hint="eastAsia" w:ascii="宋体" w:hAnsi="宋体" w:cs="宋体"/>
                <w:kern w:val="0"/>
                <w:szCs w:val="21"/>
              </w:rPr>
              <w:t>补齐片区商业服务功能，与周边文体设施联动发展，形成城市活力中心。</w:t>
            </w:r>
          </w:p>
        </w:tc>
        <w:tc>
          <w:tcPr>
            <w:tcW w:w="600" w:type="pct"/>
            <w:tcBorders>
              <w:top w:val="single" w:color="000000" w:sz="6" w:space="0"/>
              <w:left w:val="single" w:color="000000" w:sz="6" w:space="0"/>
              <w:bottom w:val="single" w:color="000000" w:sz="6" w:space="0"/>
              <w:right w:val="single" w:color="000000" w:sz="6" w:space="0"/>
            </w:tcBorders>
            <w:vAlign w:val="center"/>
          </w:tcPr>
          <w:p>
            <w:pPr>
              <w:widowControl/>
              <w:jc w:val="center"/>
              <w:rPr>
                <w:rFonts w:hint="eastAsia" w:ascii="宋体" w:hAnsi="宋体" w:cs="宋体"/>
                <w:kern w:val="0"/>
                <w:szCs w:val="21"/>
              </w:rPr>
            </w:pPr>
            <w:r>
              <w:rPr>
                <w:rFonts w:hint="eastAsia" w:ascii="宋体" w:hAnsi="宋体" w:cs="宋体"/>
                <w:kern w:val="0"/>
                <w:szCs w:val="21"/>
              </w:rPr>
              <w:t>远期新建</w:t>
            </w:r>
          </w:p>
        </w:tc>
      </w:tr>
      <w:tr>
        <w:tblPrEx>
          <w:tblCellMar>
            <w:top w:w="0" w:type="dxa"/>
            <w:left w:w="0" w:type="dxa"/>
            <w:bottom w:w="0" w:type="dxa"/>
            <w:right w:w="0" w:type="dxa"/>
          </w:tblCellMar>
        </w:tblPrEx>
        <w:trPr>
          <w:cantSplit/>
          <w:trHeight w:val="454" w:hRule="atLeast"/>
        </w:trPr>
        <w:tc>
          <w:tcPr>
            <w:tcW w:w="241" w:type="pct"/>
            <w:vMerge w:val="continue"/>
            <w:tcBorders>
              <w:top w:val="single" w:color="000000" w:sz="6" w:space="0"/>
              <w:left w:val="single" w:color="000000" w:sz="6" w:space="0"/>
              <w:bottom w:val="single" w:color="auto" w:sz="4" w:space="0"/>
              <w:right w:val="single" w:color="000000" w:sz="6" w:space="0"/>
            </w:tcBorders>
            <w:shd w:val="clear" w:color="auto" w:fill="auto"/>
            <w:vAlign w:val="center"/>
          </w:tcPr>
          <w:p>
            <w:pPr>
              <w:widowControl/>
              <w:jc w:val="center"/>
              <w:rPr>
                <w:rFonts w:hint="eastAsia" w:ascii="宋体" w:hAnsi="宋体" w:cs="宋体"/>
                <w:kern w:val="0"/>
                <w:szCs w:val="21"/>
              </w:rPr>
            </w:pPr>
          </w:p>
        </w:tc>
        <w:tc>
          <w:tcPr>
            <w:tcW w:w="729" w:type="pct"/>
            <w:tcBorders>
              <w:top w:val="single" w:color="000000" w:sz="6" w:space="0"/>
              <w:left w:val="single" w:color="000000" w:sz="6" w:space="0"/>
              <w:bottom w:val="single" w:color="000000" w:sz="6" w:space="0"/>
              <w:right w:val="single" w:color="000000" w:sz="6" w:space="0"/>
            </w:tcBorders>
            <w:shd w:val="clear" w:color="auto" w:fill="auto"/>
            <w:tcMar>
              <w:top w:w="8" w:type="dxa"/>
              <w:left w:w="8" w:type="dxa"/>
              <w:bottom w:w="0" w:type="dxa"/>
              <w:right w:w="8" w:type="dxa"/>
            </w:tcMar>
            <w:vAlign w:val="center"/>
          </w:tcPr>
          <w:p>
            <w:pPr>
              <w:widowControl/>
              <w:jc w:val="center"/>
              <w:rPr>
                <w:rFonts w:hint="eastAsia" w:ascii="宋体" w:hAnsi="宋体" w:cs="宋体"/>
                <w:kern w:val="0"/>
                <w:szCs w:val="21"/>
              </w:rPr>
            </w:pPr>
            <w:r>
              <w:rPr>
                <w:rFonts w:hint="eastAsia" w:ascii="宋体" w:hAnsi="宋体" w:cs="宋体"/>
                <w:kern w:val="0"/>
                <w:szCs w:val="21"/>
              </w:rPr>
              <w:t>南广场商圈</w:t>
            </w:r>
          </w:p>
        </w:tc>
        <w:tc>
          <w:tcPr>
            <w:tcW w:w="1714" w:type="pct"/>
            <w:tcBorders>
              <w:top w:val="single" w:color="000000" w:sz="6" w:space="0"/>
              <w:left w:val="single" w:color="000000" w:sz="6" w:space="0"/>
              <w:bottom w:val="single" w:color="000000" w:sz="6" w:space="0"/>
              <w:right w:val="single" w:color="000000" w:sz="6" w:space="0"/>
            </w:tcBorders>
            <w:shd w:val="clear" w:color="auto" w:fill="auto"/>
            <w:tcMar>
              <w:top w:w="8" w:type="dxa"/>
              <w:left w:w="8" w:type="dxa"/>
              <w:bottom w:w="0" w:type="dxa"/>
              <w:right w:w="8" w:type="dxa"/>
            </w:tcMar>
            <w:vAlign w:val="center"/>
          </w:tcPr>
          <w:p>
            <w:pPr>
              <w:widowControl/>
              <w:jc w:val="left"/>
              <w:rPr>
                <w:rFonts w:hint="eastAsia" w:ascii="宋体" w:hAnsi="宋体" w:cs="宋体"/>
                <w:kern w:val="0"/>
                <w:szCs w:val="21"/>
              </w:rPr>
            </w:pPr>
            <w:r>
              <w:rPr>
                <w:rFonts w:hint="eastAsia" w:ascii="宋体" w:hAnsi="宋体" w:cs="宋体"/>
                <w:color w:val="000000"/>
                <w:kern w:val="0"/>
                <w:szCs w:val="21"/>
              </w:rPr>
              <w:t>服务于英雄南路两侧及淮海片区居民的特色型圈。</w:t>
            </w:r>
          </w:p>
        </w:tc>
        <w:tc>
          <w:tcPr>
            <w:tcW w:w="1716" w:type="pct"/>
            <w:tcBorders>
              <w:top w:val="single" w:color="000000" w:sz="6" w:space="0"/>
              <w:left w:val="single" w:color="000000" w:sz="6" w:space="0"/>
              <w:bottom w:val="single" w:color="000000" w:sz="6" w:space="0"/>
              <w:right w:val="single" w:color="000000" w:sz="6" w:space="0"/>
            </w:tcBorders>
            <w:shd w:val="clear" w:color="auto" w:fill="auto"/>
            <w:tcMar>
              <w:top w:w="8" w:type="dxa"/>
              <w:left w:w="8" w:type="dxa"/>
              <w:bottom w:w="0" w:type="dxa"/>
              <w:right w:w="8" w:type="dxa"/>
            </w:tcMar>
            <w:vAlign w:val="center"/>
          </w:tcPr>
          <w:p>
            <w:pPr>
              <w:widowControl/>
              <w:jc w:val="left"/>
              <w:rPr>
                <w:rFonts w:hint="eastAsia" w:ascii="宋体" w:hAnsi="宋体" w:cs="宋体"/>
                <w:kern w:val="0"/>
                <w:szCs w:val="21"/>
              </w:rPr>
            </w:pPr>
            <w:r>
              <w:rPr>
                <w:rFonts w:hint="eastAsia" w:ascii="宋体" w:hAnsi="宋体" w:cs="宋体"/>
                <w:kern w:val="0"/>
                <w:szCs w:val="21"/>
              </w:rPr>
              <w:t>结合片区城市更新，突出科工文化特色，盘活现有在建商业设施。</w:t>
            </w:r>
          </w:p>
        </w:tc>
        <w:tc>
          <w:tcPr>
            <w:tcW w:w="600" w:type="pct"/>
            <w:tcBorders>
              <w:top w:val="single" w:color="000000" w:sz="6" w:space="0"/>
              <w:left w:val="single" w:color="000000" w:sz="6" w:space="0"/>
              <w:bottom w:val="single" w:color="000000" w:sz="6" w:space="0"/>
              <w:right w:val="single" w:color="000000" w:sz="6" w:space="0"/>
            </w:tcBorders>
            <w:vAlign w:val="center"/>
          </w:tcPr>
          <w:p>
            <w:pPr>
              <w:widowControl/>
              <w:jc w:val="center"/>
              <w:rPr>
                <w:rFonts w:hint="eastAsia" w:ascii="宋体" w:hAnsi="宋体" w:cs="宋体"/>
                <w:kern w:val="0"/>
                <w:szCs w:val="21"/>
              </w:rPr>
            </w:pPr>
            <w:r>
              <w:rPr>
                <w:rFonts w:hint="eastAsia" w:ascii="宋体" w:hAnsi="宋体" w:cs="宋体"/>
                <w:kern w:val="0"/>
                <w:szCs w:val="21"/>
              </w:rPr>
              <w:t>近期新建</w:t>
            </w:r>
          </w:p>
        </w:tc>
      </w:tr>
      <w:tr>
        <w:tblPrEx>
          <w:tblCellMar>
            <w:top w:w="0" w:type="dxa"/>
            <w:left w:w="0" w:type="dxa"/>
            <w:bottom w:w="0" w:type="dxa"/>
            <w:right w:w="0" w:type="dxa"/>
          </w:tblCellMar>
        </w:tblPrEx>
        <w:trPr>
          <w:cantSplit/>
          <w:trHeight w:val="454" w:hRule="atLeast"/>
        </w:trPr>
        <w:tc>
          <w:tcPr>
            <w:tcW w:w="241" w:type="pct"/>
            <w:vMerge w:val="restart"/>
            <w:tcBorders>
              <w:top w:val="single" w:color="auto" w:sz="4" w:space="0"/>
              <w:left w:val="single" w:color="000000" w:sz="6" w:space="0"/>
              <w:right w:val="single" w:color="000000" w:sz="6" w:space="0"/>
            </w:tcBorders>
            <w:shd w:val="clear" w:color="auto" w:fill="auto"/>
            <w:vAlign w:val="center"/>
          </w:tcPr>
          <w:p>
            <w:pPr>
              <w:jc w:val="center"/>
              <w:rPr>
                <w:rFonts w:hint="eastAsia" w:ascii="宋体" w:hAnsi="宋体" w:cs="宋体"/>
                <w:kern w:val="0"/>
                <w:szCs w:val="21"/>
              </w:rPr>
            </w:pPr>
            <w:r>
              <w:rPr>
                <w:rFonts w:hint="eastAsia" w:ascii="宋体" w:hAnsi="宋体" w:cs="宋体"/>
                <w:color w:val="000000"/>
                <w:kern w:val="0"/>
                <w:szCs w:val="21"/>
              </w:rPr>
              <w:t>上党</w:t>
            </w:r>
          </w:p>
        </w:tc>
        <w:tc>
          <w:tcPr>
            <w:tcW w:w="729" w:type="pct"/>
            <w:tcBorders>
              <w:top w:val="single" w:color="000000" w:sz="6" w:space="0"/>
              <w:left w:val="single" w:color="000000" w:sz="6" w:space="0"/>
              <w:bottom w:val="single" w:color="000000" w:sz="6" w:space="0"/>
              <w:right w:val="single" w:color="000000" w:sz="6" w:space="0"/>
            </w:tcBorders>
            <w:shd w:val="clear" w:color="auto" w:fill="auto"/>
            <w:tcMar>
              <w:top w:w="8" w:type="dxa"/>
              <w:left w:w="8" w:type="dxa"/>
              <w:bottom w:w="0" w:type="dxa"/>
              <w:right w:w="8" w:type="dxa"/>
            </w:tcMar>
            <w:vAlign w:val="center"/>
          </w:tcPr>
          <w:p>
            <w:pPr>
              <w:widowControl/>
              <w:jc w:val="center"/>
              <w:rPr>
                <w:rFonts w:hint="eastAsia" w:ascii="宋体" w:hAnsi="宋体" w:cs="宋体"/>
                <w:kern w:val="0"/>
                <w:szCs w:val="21"/>
              </w:rPr>
            </w:pPr>
            <w:r>
              <w:rPr>
                <w:rFonts w:hint="eastAsia" w:ascii="宋体" w:hAnsi="宋体" w:cs="宋体"/>
                <w:kern w:val="0"/>
                <w:szCs w:val="21"/>
              </w:rPr>
              <w:t>凯德世家商圈</w:t>
            </w:r>
          </w:p>
        </w:tc>
        <w:tc>
          <w:tcPr>
            <w:tcW w:w="1714" w:type="pct"/>
            <w:tcBorders>
              <w:top w:val="single" w:color="000000" w:sz="6" w:space="0"/>
              <w:left w:val="single" w:color="000000" w:sz="6" w:space="0"/>
              <w:bottom w:val="single" w:color="000000" w:sz="6" w:space="0"/>
              <w:right w:val="single" w:color="000000" w:sz="6" w:space="0"/>
            </w:tcBorders>
            <w:shd w:val="clear" w:color="auto" w:fill="auto"/>
            <w:tcMar>
              <w:top w:w="8" w:type="dxa"/>
              <w:left w:w="8" w:type="dxa"/>
              <w:bottom w:w="0" w:type="dxa"/>
              <w:right w:w="8" w:type="dxa"/>
            </w:tcMar>
            <w:vAlign w:val="center"/>
          </w:tcPr>
          <w:p>
            <w:pPr>
              <w:widowControl/>
              <w:jc w:val="left"/>
              <w:rPr>
                <w:rFonts w:hint="eastAsia" w:ascii="宋体" w:hAnsi="宋体" w:cs="宋体"/>
                <w:kern w:val="0"/>
                <w:szCs w:val="21"/>
              </w:rPr>
            </w:pPr>
            <w:r>
              <w:rPr>
                <w:rFonts w:hint="eastAsia" w:ascii="宋体" w:hAnsi="宋体" w:cs="宋体"/>
                <w:color w:val="000000"/>
                <w:kern w:val="0"/>
                <w:szCs w:val="21"/>
              </w:rPr>
              <w:t>引领上党区居民消费升级的主要商圈。</w:t>
            </w:r>
          </w:p>
        </w:tc>
        <w:tc>
          <w:tcPr>
            <w:tcW w:w="1716" w:type="pct"/>
            <w:tcBorders>
              <w:top w:val="single" w:color="000000" w:sz="6" w:space="0"/>
              <w:left w:val="single" w:color="000000" w:sz="6" w:space="0"/>
              <w:bottom w:val="single" w:color="000000" w:sz="6" w:space="0"/>
              <w:right w:val="single" w:color="000000" w:sz="6" w:space="0"/>
            </w:tcBorders>
            <w:shd w:val="clear" w:color="auto" w:fill="auto"/>
            <w:tcMar>
              <w:top w:w="8" w:type="dxa"/>
              <w:left w:w="8" w:type="dxa"/>
              <w:bottom w:w="0" w:type="dxa"/>
              <w:right w:w="8" w:type="dxa"/>
            </w:tcMar>
            <w:vAlign w:val="center"/>
          </w:tcPr>
          <w:p>
            <w:pPr>
              <w:widowControl/>
              <w:jc w:val="left"/>
              <w:rPr>
                <w:rFonts w:hint="eastAsia" w:ascii="宋体" w:hAnsi="宋体" w:cs="宋体"/>
                <w:kern w:val="0"/>
                <w:szCs w:val="21"/>
              </w:rPr>
            </w:pPr>
            <w:r>
              <w:rPr>
                <w:rFonts w:hint="eastAsia" w:ascii="宋体" w:hAnsi="宋体" w:cs="宋体"/>
                <w:kern w:val="0"/>
                <w:szCs w:val="21"/>
              </w:rPr>
              <w:t>不断提升业态及服务品质，推动商圈智慧化发展。</w:t>
            </w:r>
          </w:p>
        </w:tc>
        <w:tc>
          <w:tcPr>
            <w:tcW w:w="600" w:type="pct"/>
            <w:tcBorders>
              <w:top w:val="single" w:color="000000" w:sz="6" w:space="0"/>
              <w:left w:val="single" w:color="000000" w:sz="6" w:space="0"/>
              <w:bottom w:val="single" w:color="000000" w:sz="6" w:space="0"/>
              <w:right w:val="single" w:color="000000" w:sz="6" w:space="0"/>
            </w:tcBorders>
            <w:vAlign w:val="center"/>
          </w:tcPr>
          <w:p>
            <w:pPr>
              <w:widowControl/>
              <w:jc w:val="center"/>
              <w:rPr>
                <w:rFonts w:hint="eastAsia" w:ascii="宋体" w:hAnsi="宋体" w:cs="宋体"/>
                <w:kern w:val="0"/>
                <w:szCs w:val="21"/>
              </w:rPr>
            </w:pPr>
            <w:r>
              <w:rPr>
                <w:rFonts w:hint="eastAsia" w:ascii="宋体" w:hAnsi="宋体" w:cs="宋体"/>
                <w:kern w:val="0"/>
                <w:szCs w:val="21"/>
              </w:rPr>
              <w:t>-</w:t>
            </w:r>
          </w:p>
        </w:tc>
      </w:tr>
      <w:tr>
        <w:tblPrEx>
          <w:tblCellMar>
            <w:top w:w="0" w:type="dxa"/>
            <w:left w:w="0" w:type="dxa"/>
            <w:bottom w:w="0" w:type="dxa"/>
            <w:right w:w="0" w:type="dxa"/>
          </w:tblCellMar>
        </w:tblPrEx>
        <w:trPr>
          <w:cantSplit/>
          <w:trHeight w:val="454" w:hRule="atLeast"/>
        </w:trPr>
        <w:tc>
          <w:tcPr>
            <w:tcW w:w="241" w:type="pct"/>
            <w:vMerge w:val="continue"/>
            <w:tcBorders>
              <w:left w:val="single" w:color="000000" w:sz="6" w:space="0"/>
              <w:bottom w:val="single" w:color="000000" w:sz="6" w:space="0"/>
              <w:right w:val="single" w:color="000000" w:sz="6" w:space="0"/>
            </w:tcBorders>
            <w:shd w:val="clear" w:color="auto" w:fill="auto"/>
            <w:tcMar>
              <w:top w:w="8" w:type="dxa"/>
              <w:left w:w="8" w:type="dxa"/>
              <w:bottom w:w="0" w:type="dxa"/>
              <w:right w:w="8" w:type="dxa"/>
            </w:tcMar>
            <w:vAlign w:val="center"/>
          </w:tcPr>
          <w:p>
            <w:pPr>
              <w:widowControl/>
              <w:jc w:val="center"/>
              <w:rPr>
                <w:rFonts w:hint="eastAsia" w:ascii="宋体" w:hAnsi="宋体" w:cs="宋体"/>
                <w:kern w:val="0"/>
                <w:szCs w:val="21"/>
              </w:rPr>
            </w:pPr>
          </w:p>
        </w:tc>
        <w:tc>
          <w:tcPr>
            <w:tcW w:w="729" w:type="pct"/>
            <w:tcBorders>
              <w:top w:val="single" w:color="000000" w:sz="6" w:space="0"/>
              <w:left w:val="single" w:color="000000" w:sz="6" w:space="0"/>
              <w:bottom w:val="single" w:color="000000" w:sz="6" w:space="0"/>
              <w:right w:val="single" w:color="000000" w:sz="6" w:space="0"/>
            </w:tcBorders>
            <w:shd w:val="clear" w:color="auto" w:fill="auto"/>
            <w:tcMar>
              <w:top w:w="8" w:type="dxa"/>
              <w:left w:w="8" w:type="dxa"/>
              <w:bottom w:w="0" w:type="dxa"/>
              <w:right w:w="8" w:type="dxa"/>
            </w:tcMar>
            <w:vAlign w:val="center"/>
          </w:tcPr>
          <w:p>
            <w:pPr>
              <w:widowControl/>
              <w:jc w:val="center"/>
              <w:rPr>
                <w:rFonts w:hint="eastAsia" w:ascii="宋体" w:hAnsi="宋体" w:cs="宋体"/>
                <w:kern w:val="0"/>
                <w:szCs w:val="21"/>
              </w:rPr>
            </w:pPr>
            <w:r>
              <w:rPr>
                <w:rFonts w:hint="eastAsia" w:ascii="宋体" w:hAnsi="宋体" w:cs="宋体"/>
                <w:kern w:val="0"/>
                <w:szCs w:val="21"/>
              </w:rPr>
              <w:t>新市街商圈</w:t>
            </w:r>
          </w:p>
        </w:tc>
        <w:tc>
          <w:tcPr>
            <w:tcW w:w="1714" w:type="pct"/>
            <w:tcBorders>
              <w:top w:val="single" w:color="000000" w:sz="6" w:space="0"/>
              <w:left w:val="single" w:color="000000" w:sz="6" w:space="0"/>
              <w:bottom w:val="single" w:color="000000" w:sz="6" w:space="0"/>
              <w:right w:val="single" w:color="000000" w:sz="6" w:space="0"/>
            </w:tcBorders>
            <w:shd w:val="clear" w:color="auto" w:fill="auto"/>
            <w:tcMar>
              <w:top w:w="8" w:type="dxa"/>
              <w:left w:w="8" w:type="dxa"/>
              <w:bottom w:w="0" w:type="dxa"/>
              <w:right w:w="8" w:type="dxa"/>
            </w:tcMar>
            <w:vAlign w:val="center"/>
          </w:tcPr>
          <w:p>
            <w:pPr>
              <w:widowControl/>
              <w:jc w:val="left"/>
              <w:rPr>
                <w:rFonts w:hint="eastAsia" w:ascii="宋体" w:hAnsi="宋体" w:cs="宋体"/>
                <w:kern w:val="0"/>
                <w:szCs w:val="21"/>
              </w:rPr>
            </w:pPr>
            <w:r>
              <w:rPr>
                <w:rFonts w:hint="eastAsia" w:ascii="宋体" w:hAnsi="宋体" w:cs="宋体"/>
                <w:color w:val="000000"/>
                <w:kern w:val="0"/>
                <w:szCs w:val="21"/>
              </w:rPr>
              <w:t>体现上党区原生商业文化的综合型商圈。</w:t>
            </w:r>
          </w:p>
        </w:tc>
        <w:tc>
          <w:tcPr>
            <w:tcW w:w="1716" w:type="pct"/>
            <w:tcBorders>
              <w:top w:val="single" w:color="000000" w:sz="6" w:space="0"/>
              <w:left w:val="single" w:color="000000" w:sz="6" w:space="0"/>
              <w:bottom w:val="single" w:color="000000" w:sz="6" w:space="0"/>
              <w:right w:val="single" w:color="000000" w:sz="6" w:space="0"/>
            </w:tcBorders>
            <w:shd w:val="clear" w:color="auto" w:fill="auto"/>
            <w:tcMar>
              <w:top w:w="8" w:type="dxa"/>
              <w:left w:w="8" w:type="dxa"/>
              <w:bottom w:w="0" w:type="dxa"/>
              <w:right w:w="8" w:type="dxa"/>
            </w:tcMar>
            <w:vAlign w:val="center"/>
          </w:tcPr>
          <w:p>
            <w:pPr>
              <w:widowControl/>
              <w:jc w:val="left"/>
              <w:rPr>
                <w:rFonts w:hint="eastAsia" w:ascii="宋体" w:hAnsi="宋体" w:cs="宋体"/>
                <w:kern w:val="0"/>
                <w:szCs w:val="21"/>
              </w:rPr>
            </w:pPr>
            <w:r>
              <w:rPr>
                <w:rFonts w:hint="eastAsia" w:ascii="宋体" w:hAnsi="宋体" w:cs="宋体"/>
                <w:kern w:val="0"/>
                <w:szCs w:val="21"/>
              </w:rPr>
              <w:t>结合城市更新，作为城市重点改造提升商圈。</w:t>
            </w:r>
          </w:p>
        </w:tc>
        <w:tc>
          <w:tcPr>
            <w:tcW w:w="600" w:type="pct"/>
            <w:tcBorders>
              <w:top w:val="single" w:color="000000" w:sz="6" w:space="0"/>
              <w:left w:val="single" w:color="000000" w:sz="6" w:space="0"/>
              <w:bottom w:val="single" w:color="000000" w:sz="6" w:space="0"/>
              <w:right w:val="single" w:color="000000" w:sz="6" w:space="0"/>
            </w:tcBorders>
            <w:vAlign w:val="center"/>
          </w:tcPr>
          <w:p>
            <w:pPr>
              <w:widowControl/>
              <w:jc w:val="center"/>
              <w:rPr>
                <w:rFonts w:hint="eastAsia" w:ascii="宋体" w:hAnsi="宋体" w:cs="宋体"/>
                <w:kern w:val="0"/>
                <w:szCs w:val="21"/>
              </w:rPr>
            </w:pPr>
            <w:r>
              <w:rPr>
                <w:rFonts w:hint="eastAsia" w:ascii="宋体" w:hAnsi="宋体" w:cs="宋体"/>
                <w:kern w:val="0"/>
                <w:szCs w:val="21"/>
              </w:rPr>
              <w:t>近期改造提升</w:t>
            </w:r>
          </w:p>
        </w:tc>
      </w:tr>
      <w:tr>
        <w:tblPrEx>
          <w:tblCellMar>
            <w:top w:w="0" w:type="dxa"/>
            <w:left w:w="0" w:type="dxa"/>
            <w:bottom w:w="0" w:type="dxa"/>
            <w:right w:w="0" w:type="dxa"/>
          </w:tblCellMar>
        </w:tblPrEx>
        <w:trPr>
          <w:cantSplit/>
          <w:trHeight w:val="454" w:hRule="atLeast"/>
        </w:trPr>
        <w:tc>
          <w:tcPr>
            <w:tcW w:w="241" w:type="pct"/>
            <w:vMerge w:val="restart"/>
            <w:tcBorders>
              <w:top w:val="single" w:color="000000" w:sz="6" w:space="0"/>
              <w:left w:val="single" w:color="000000" w:sz="6" w:space="0"/>
              <w:bottom w:val="single" w:color="000000" w:sz="6" w:space="0"/>
              <w:right w:val="single" w:color="000000" w:sz="6" w:space="0"/>
            </w:tcBorders>
            <w:shd w:val="clear" w:color="auto" w:fill="auto"/>
            <w:tcMar>
              <w:top w:w="8" w:type="dxa"/>
              <w:left w:w="8" w:type="dxa"/>
              <w:bottom w:w="0" w:type="dxa"/>
              <w:right w:w="8" w:type="dxa"/>
            </w:tcMar>
            <w:vAlign w:val="center"/>
          </w:tcPr>
          <w:p>
            <w:pPr>
              <w:widowControl/>
              <w:jc w:val="center"/>
              <w:rPr>
                <w:rFonts w:hint="eastAsia" w:ascii="宋体" w:hAnsi="宋体" w:cs="宋体"/>
                <w:kern w:val="0"/>
                <w:szCs w:val="21"/>
              </w:rPr>
            </w:pPr>
            <w:r>
              <w:rPr>
                <w:rFonts w:hint="eastAsia" w:ascii="宋体" w:hAnsi="宋体" w:cs="宋体"/>
                <w:color w:val="000000"/>
                <w:kern w:val="0"/>
                <w:szCs w:val="21"/>
              </w:rPr>
              <w:t>屯留</w:t>
            </w:r>
          </w:p>
        </w:tc>
        <w:tc>
          <w:tcPr>
            <w:tcW w:w="729" w:type="pct"/>
            <w:tcBorders>
              <w:top w:val="single" w:color="000000" w:sz="6" w:space="0"/>
              <w:left w:val="single" w:color="000000" w:sz="6" w:space="0"/>
              <w:bottom w:val="single" w:color="000000" w:sz="6" w:space="0"/>
              <w:right w:val="single" w:color="000000" w:sz="6" w:space="0"/>
            </w:tcBorders>
            <w:shd w:val="clear" w:color="auto" w:fill="auto"/>
            <w:tcMar>
              <w:top w:w="8" w:type="dxa"/>
              <w:left w:w="8" w:type="dxa"/>
              <w:bottom w:w="0" w:type="dxa"/>
              <w:right w:w="8" w:type="dxa"/>
            </w:tcMar>
            <w:vAlign w:val="center"/>
          </w:tcPr>
          <w:p>
            <w:pPr>
              <w:widowControl/>
              <w:jc w:val="center"/>
              <w:rPr>
                <w:rFonts w:hint="eastAsia" w:ascii="宋体" w:hAnsi="宋体" w:cs="宋体"/>
                <w:kern w:val="0"/>
                <w:szCs w:val="21"/>
              </w:rPr>
            </w:pPr>
            <w:r>
              <w:rPr>
                <w:rFonts w:hint="eastAsia" w:ascii="宋体" w:hAnsi="宋体" w:cs="宋体"/>
                <w:kern w:val="0"/>
                <w:szCs w:val="21"/>
              </w:rPr>
              <w:t>屯留西街商圈</w:t>
            </w:r>
          </w:p>
        </w:tc>
        <w:tc>
          <w:tcPr>
            <w:tcW w:w="1714" w:type="pct"/>
            <w:tcBorders>
              <w:top w:val="single" w:color="000000" w:sz="6" w:space="0"/>
              <w:left w:val="single" w:color="000000" w:sz="6" w:space="0"/>
              <w:bottom w:val="single" w:color="000000" w:sz="6" w:space="0"/>
              <w:right w:val="single" w:color="000000" w:sz="6" w:space="0"/>
            </w:tcBorders>
            <w:shd w:val="clear" w:color="auto" w:fill="auto"/>
            <w:tcMar>
              <w:top w:w="8" w:type="dxa"/>
              <w:left w:w="8" w:type="dxa"/>
              <w:bottom w:w="0" w:type="dxa"/>
              <w:right w:w="8" w:type="dxa"/>
            </w:tcMar>
            <w:vAlign w:val="center"/>
          </w:tcPr>
          <w:p>
            <w:pPr>
              <w:widowControl/>
              <w:jc w:val="left"/>
              <w:rPr>
                <w:rFonts w:hint="eastAsia" w:ascii="宋体" w:hAnsi="宋体" w:cs="宋体"/>
                <w:kern w:val="0"/>
                <w:szCs w:val="21"/>
              </w:rPr>
            </w:pPr>
            <w:r>
              <w:rPr>
                <w:rFonts w:hint="eastAsia" w:ascii="宋体" w:hAnsi="宋体" w:cs="宋体"/>
                <w:kern w:val="0"/>
                <w:szCs w:val="21"/>
              </w:rPr>
              <w:t>服务于屯留区西部的综合型商圈。</w:t>
            </w:r>
          </w:p>
        </w:tc>
        <w:tc>
          <w:tcPr>
            <w:tcW w:w="1716" w:type="pct"/>
            <w:tcBorders>
              <w:top w:val="single" w:color="000000" w:sz="6" w:space="0"/>
              <w:left w:val="single" w:color="000000" w:sz="6" w:space="0"/>
              <w:bottom w:val="single" w:color="000000" w:sz="6" w:space="0"/>
              <w:right w:val="single" w:color="000000" w:sz="6" w:space="0"/>
            </w:tcBorders>
            <w:shd w:val="clear" w:color="auto" w:fill="auto"/>
            <w:tcMar>
              <w:top w:w="8" w:type="dxa"/>
              <w:left w:w="8" w:type="dxa"/>
              <w:bottom w:w="0" w:type="dxa"/>
              <w:right w:w="8" w:type="dxa"/>
            </w:tcMar>
            <w:vAlign w:val="center"/>
          </w:tcPr>
          <w:p>
            <w:pPr>
              <w:widowControl/>
              <w:jc w:val="left"/>
              <w:rPr>
                <w:rFonts w:hint="eastAsia" w:ascii="宋体" w:hAnsi="宋体" w:cs="宋体"/>
                <w:kern w:val="0"/>
                <w:szCs w:val="21"/>
              </w:rPr>
            </w:pPr>
            <w:r>
              <w:rPr>
                <w:rFonts w:hint="eastAsia" w:ascii="宋体" w:hAnsi="宋体" w:cs="宋体"/>
                <w:kern w:val="0"/>
                <w:szCs w:val="21"/>
              </w:rPr>
              <w:t>策划培育禹王北路主题特色业态功能，对西街物流园进行改造提升。</w:t>
            </w:r>
          </w:p>
        </w:tc>
        <w:tc>
          <w:tcPr>
            <w:tcW w:w="600" w:type="pct"/>
            <w:tcBorders>
              <w:top w:val="single" w:color="000000" w:sz="6" w:space="0"/>
              <w:left w:val="single" w:color="000000" w:sz="6" w:space="0"/>
              <w:bottom w:val="single" w:color="000000" w:sz="6" w:space="0"/>
              <w:right w:val="single" w:color="000000" w:sz="6" w:space="0"/>
            </w:tcBorders>
            <w:vAlign w:val="center"/>
          </w:tcPr>
          <w:p>
            <w:pPr>
              <w:widowControl/>
              <w:jc w:val="center"/>
              <w:rPr>
                <w:rFonts w:hint="eastAsia" w:ascii="宋体" w:hAnsi="宋体" w:cs="宋体"/>
                <w:kern w:val="0"/>
                <w:szCs w:val="21"/>
              </w:rPr>
            </w:pPr>
            <w:r>
              <w:rPr>
                <w:rFonts w:hint="eastAsia" w:ascii="宋体" w:hAnsi="宋体" w:cs="宋体"/>
                <w:kern w:val="0"/>
                <w:szCs w:val="21"/>
              </w:rPr>
              <w:t>-</w:t>
            </w:r>
          </w:p>
        </w:tc>
      </w:tr>
      <w:tr>
        <w:tblPrEx>
          <w:tblCellMar>
            <w:top w:w="0" w:type="dxa"/>
            <w:left w:w="0" w:type="dxa"/>
            <w:bottom w:w="0" w:type="dxa"/>
            <w:right w:w="0" w:type="dxa"/>
          </w:tblCellMar>
        </w:tblPrEx>
        <w:trPr>
          <w:cantSplit/>
          <w:trHeight w:val="454" w:hRule="atLeast"/>
        </w:trPr>
        <w:tc>
          <w:tcPr>
            <w:tcW w:w="241" w:type="pct"/>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jc w:val="center"/>
              <w:rPr>
                <w:rFonts w:hint="eastAsia" w:ascii="宋体" w:hAnsi="宋体" w:cs="宋体"/>
                <w:kern w:val="0"/>
                <w:szCs w:val="21"/>
              </w:rPr>
            </w:pPr>
          </w:p>
        </w:tc>
        <w:tc>
          <w:tcPr>
            <w:tcW w:w="729" w:type="pct"/>
            <w:tcBorders>
              <w:top w:val="single" w:color="000000" w:sz="6" w:space="0"/>
              <w:left w:val="single" w:color="000000" w:sz="6" w:space="0"/>
              <w:bottom w:val="single" w:color="000000" w:sz="6" w:space="0"/>
              <w:right w:val="single" w:color="000000" w:sz="6" w:space="0"/>
            </w:tcBorders>
            <w:shd w:val="clear" w:color="auto" w:fill="auto"/>
            <w:tcMar>
              <w:top w:w="8" w:type="dxa"/>
              <w:left w:w="8" w:type="dxa"/>
              <w:bottom w:w="0" w:type="dxa"/>
              <w:right w:w="8" w:type="dxa"/>
            </w:tcMar>
            <w:vAlign w:val="center"/>
          </w:tcPr>
          <w:p>
            <w:pPr>
              <w:widowControl/>
              <w:jc w:val="center"/>
              <w:rPr>
                <w:rFonts w:hint="eastAsia" w:ascii="宋体" w:hAnsi="宋体" w:cs="宋体"/>
                <w:kern w:val="0"/>
                <w:szCs w:val="21"/>
              </w:rPr>
            </w:pPr>
            <w:r>
              <w:rPr>
                <w:rFonts w:hint="eastAsia" w:ascii="宋体" w:hAnsi="宋体" w:cs="宋体"/>
                <w:kern w:val="0"/>
                <w:szCs w:val="21"/>
              </w:rPr>
              <w:t>获壁街商圈</w:t>
            </w:r>
          </w:p>
        </w:tc>
        <w:tc>
          <w:tcPr>
            <w:tcW w:w="1714" w:type="pct"/>
            <w:tcBorders>
              <w:top w:val="single" w:color="000000" w:sz="6" w:space="0"/>
              <w:left w:val="single" w:color="000000" w:sz="6" w:space="0"/>
              <w:bottom w:val="single" w:color="000000" w:sz="6" w:space="0"/>
              <w:right w:val="single" w:color="000000" w:sz="6" w:space="0"/>
            </w:tcBorders>
            <w:shd w:val="clear" w:color="auto" w:fill="auto"/>
            <w:tcMar>
              <w:top w:w="8" w:type="dxa"/>
              <w:left w:w="8" w:type="dxa"/>
              <w:bottom w:w="0" w:type="dxa"/>
              <w:right w:w="8" w:type="dxa"/>
            </w:tcMar>
            <w:vAlign w:val="center"/>
          </w:tcPr>
          <w:p>
            <w:pPr>
              <w:widowControl/>
              <w:jc w:val="left"/>
              <w:rPr>
                <w:rFonts w:hint="eastAsia" w:ascii="宋体" w:hAnsi="宋体" w:cs="宋体"/>
                <w:kern w:val="0"/>
                <w:szCs w:val="21"/>
              </w:rPr>
            </w:pPr>
            <w:r>
              <w:rPr>
                <w:rFonts w:hint="eastAsia" w:ascii="宋体" w:hAnsi="宋体" w:cs="宋体"/>
                <w:color w:val="000000"/>
                <w:kern w:val="0"/>
                <w:szCs w:val="21"/>
              </w:rPr>
              <w:t>面向屯留区居民及外来游客，融合商业与文化的特色复合型商圈。</w:t>
            </w:r>
          </w:p>
        </w:tc>
        <w:tc>
          <w:tcPr>
            <w:tcW w:w="1716" w:type="pct"/>
            <w:tcBorders>
              <w:top w:val="single" w:color="000000" w:sz="6" w:space="0"/>
              <w:left w:val="single" w:color="000000" w:sz="6" w:space="0"/>
              <w:bottom w:val="single" w:color="000000" w:sz="6" w:space="0"/>
              <w:right w:val="single" w:color="000000" w:sz="6" w:space="0"/>
            </w:tcBorders>
            <w:shd w:val="clear" w:color="auto" w:fill="auto"/>
            <w:tcMar>
              <w:top w:w="8" w:type="dxa"/>
              <w:left w:w="8" w:type="dxa"/>
              <w:bottom w:w="0" w:type="dxa"/>
              <w:right w:w="8" w:type="dxa"/>
            </w:tcMar>
            <w:vAlign w:val="center"/>
          </w:tcPr>
          <w:p>
            <w:pPr>
              <w:widowControl/>
              <w:jc w:val="left"/>
              <w:rPr>
                <w:rFonts w:hint="eastAsia" w:ascii="宋体" w:hAnsi="宋体" w:cs="宋体"/>
                <w:kern w:val="0"/>
                <w:szCs w:val="21"/>
              </w:rPr>
            </w:pPr>
            <w:r>
              <w:rPr>
                <w:rFonts w:hint="eastAsia" w:ascii="宋体" w:hAnsi="宋体" w:cs="宋体"/>
                <w:kern w:val="0"/>
                <w:szCs w:val="21"/>
              </w:rPr>
              <w:t>结合城市更新与羿神文化资源，作为城市重点改造提升商圈，注重商圈慢行品质营造。</w:t>
            </w:r>
          </w:p>
        </w:tc>
        <w:tc>
          <w:tcPr>
            <w:tcW w:w="600" w:type="pct"/>
            <w:tcBorders>
              <w:top w:val="single" w:color="000000" w:sz="6" w:space="0"/>
              <w:left w:val="single" w:color="000000" w:sz="6" w:space="0"/>
              <w:bottom w:val="single" w:color="000000" w:sz="6" w:space="0"/>
              <w:right w:val="single" w:color="000000" w:sz="6" w:space="0"/>
            </w:tcBorders>
            <w:vAlign w:val="center"/>
          </w:tcPr>
          <w:p>
            <w:pPr>
              <w:widowControl/>
              <w:jc w:val="center"/>
              <w:rPr>
                <w:rFonts w:hint="eastAsia" w:ascii="宋体" w:hAnsi="宋体" w:cs="宋体"/>
                <w:kern w:val="0"/>
                <w:szCs w:val="21"/>
              </w:rPr>
            </w:pPr>
            <w:r>
              <w:rPr>
                <w:rFonts w:hint="eastAsia" w:ascii="宋体" w:hAnsi="宋体" w:cs="宋体"/>
                <w:kern w:val="0"/>
                <w:szCs w:val="21"/>
              </w:rPr>
              <w:t>近期改造提升</w:t>
            </w:r>
          </w:p>
        </w:tc>
      </w:tr>
      <w:tr>
        <w:tblPrEx>
          <w:tblCellMar>
            <w:top w:w="0" w:type="dxa"/>
            <w:left w:w="0" w:type="dxa"/>
            <w:bottom w:w="0" w:type="dxa"/>
            <w:right w:w="0" w:type="dxa"/>
          </w:tblCellMar>
        </w:tblPrEx>
        <w:trPr>
          <w:cantSplit/>
          <w:trHeight w:val="454" w:hRule="atLeast"/>
        </w:trPr>
        <w:tc>
          <w:tcPr>
            <w:tcW w:w="241" w:type="pct"/>
            <w:vMerge w:val="restart"/>
            <w:tcBorders>
              <w:top w:val="single" w:color="000000" w:sz="6" w:space="0"/>
              <w:left w:val="single" w:color="000000" w:sz="6" w:space="0"/>
              <w:bottom w:val="single" w:color="000000" w:sz="6" w:space="0"/>
              <w:right w:val="single" w:color="000000" w:sz="6" w:space="0"/>
            </w:tcBorders>
            <w:shd w:val="clear" w:color="auto" w:fill="auto"/>
            <w:tcMar>
              <w:top w:w="8" w:type="dxa"/>
              <w:left w:w="8" w:type="dxa"/>
              <w:bottom w:w="0" w:type="dxa"/>
              <w:right w:w="8" w:type="dxa"/>
            </w:tcMar>
            <w:vAlign w:val="center"/>
          </w:tcPr>
          <w:p>
            <w:pPr>
              <w:widowControl/>
              <w:jc w:val="center"/>
              <w:rPr>
                <w:rFonts w:hint="eastAsia" w:ascii="宋体" w:hAnsi="宋体" w:cs="宋体"/>
                <w:kern w:val="0"/>
                <w:szCs w:val="21"/>
              </w:rPr>
            </w:pPr>
            <w:r>
              <w:rPr>
                <w:rFonts w:hint="eastAsia" w:ascii="宋体" w:hAnsi="宋体" w:cs="宋体"/>
                <w:color w:val="000000"/>
                <w:kern w:val="0"/>
                <w:szCs w:val="21"/>
              </w:rPr>
              <w:t>潞城</w:t>
            </w:r>
          </w:p>
        </w:tc>
        <w:tc>
          <w:tcPr>
            <w:tcW w:w="729" w:type="pct"/>
            <w:tcBorders>
              <w:top w:val="single" w:color="000000" w:sz="6" w:space="0"/>
              <w:left w:val="single" w:color="000000" w:sz="6" w:space="0"/>
              <w:bottom w:val="single" w:color="000000" w:sz="6" w:space="0"/>
              <w:right w:val="single" w:color="000000" w:sz="6" w:space="0"/>
            </w:tcBorders>
            <w:shd w:val="clear" w:color="auto" w:fill="auto"/>
            <w:tcMar>
              <w:top w:w="8" w:type="dxa"/>
              <w:left w:w="8" w:type="dxa"/>
              <w:bottom w:w="0" w:type="dxa"/>
              <w:right w:w="8" w:type="dxa"/>
            </w:tcMar>
            <w:vAlign w:val="center"/>
          </w:tcPr>
          <w:p>
            <w:pPr>
              <w:widowControl/>
              <w:jc w:val="center"/>
              <w:rPr>
                <w:rFonts w:hint="eastAsia" w:ascii="宋体" w:hAnsi="宋体" w:cs="宋体"/>
                <w:kern w:val="0"/>
                <w:szCs w:val="21"/>
              </w:rPr>
            </w:pPr>
            <w:r>
              <w:rPr>
                <w:rFonts w:hint="eastAsia" w:ascii="宋体" w:hAnsi="宋体" w:cs="宋体"/>
                <w:kern w:val="0"/>
                <w:szCs w:val="21"/>
              </w:rPr>
              <w:t>摩坊金街商圈</w:t>
            </w:r>
          </w:p>
        </w:tc>
        <w:tc>
          <w:tcPr>
            <w:tcW w:w="1714" w:type="pct"/>
            <w:tcBorders>
              <w:top w:val="single" w:color="000000" w:sz="6" w:space="0"/>
              <w:left w:val="single" w:color="000000" w:sz="6" w:space="0"/>
              <w:bottom w:val="single" w:color="000000" w:sz="6" w:space="0"/>
              <w:right w:val="single" w:color="000000" w:sz="6" w:space="0"/>
            </w:tcBorders>
            <w:shd w:val="clear" w:color="auto" w:fill="auto"/>
            <w:tcMar>
              <w:top w:w="8" w:type="dxa"/>
              <w:left w:w="8" w:type="dxa"/>
              <w:bottom w:w="0" w:type="dxa"/>
              <w:right w:w="8" w:type="dxa"/>
            </w:tcMar>
            <w:vAlign w:val="center"/>
          </w:tcPr>
          <w:p>
            <w:pPr>
              <w:widowControl/>
              <w:jc w:val="left"/>
              <w:rPr>
                <w:rFonts w:hint="eastAsia" w:ascii="宋体" w:hAnsi="宋体" w:cs="宋体"/>
                <w:kern w:val="0"/>
                <w:szCs w:val="21"/>
              </w:rPr>
            </w:pPr>
            <w:r>
              <w:rPr>
                <w:rFonts w:hint="eastAsia" w:ascii="宋体" w:hAnsi="宋体" w:cs="宋体"/>
                <w:color w:val="000000"/>
                <w:kern w:val="0"/>
                <w:szCs w:val="21"/>
              </w:rPr>
              <w:t>兼具年轻时尚与历史文化的综合性商圈。</w:t>
            </w:r>
          </w:p>
        </w:tc>
        <w:tc>
          <w:tcPr>
            <w:tcW w:w="1716" w:type="pct"/>
            <w:tcBorders>
              <w:top w:val="single" w:color="000000" w:sz="6" w:space="0"/>
              <w:left w:val="single" w:color="000000" w:sz="6" w:space="0"/>
              <w:bottom w:val="single" w:color="000000" w:sz="6" w:space="0"/>
              <w:right w:val="single" w:color="000000" w:sz="6" w:space="0"/>
            </w:tcBorders>
            <w:shd w:val="clear" w:color="auto" w:fill="auto"/>
            <w:tcMar>
              <w:top w:w="8" w:type="dxa"/>
              <w:left w:w="8" w:type="dxa"/>
              <w:bottom w:w="0" w:type="dxa"/>
              <w:right w:w="8" w:type="dxa"/>
            </w:tcMar>
            <w:vAlign w:val="center"/>
          </w:tcPr>
          <w:p>
            <w:pPr>
              <w:widowControl/>
              <w:jc w:val="left"/>
              <w:rPr>
                <w:rFonts w:hint="eastAsia" w:ascii="宋体" w:hAnsi="宋体" w:cs="宋体"/>
                <w:kern w:val="0"/>
                <w:szCs w:val="21"/>
              </w:rPr>
            </w:pPr>
            <w:r>
              <w:rPr>
                <w:rFonts w:hint="eastAsia" w:ascii="宋体" w:hAnsi="宋体" w:cs="宋体"/>
                <w:kern w:val="0"/>
                <w:szCs w:val="21"/>
              </w:rPr>
              <w:t>推动府前广场与摩坊金街联动发展，提升金源新天地经营水平。</w:t>
            </w:r>
          </w:p>
        </w:tc>
        <w:tc>
          <w:tcPr>
            <w:tcW w:w="600" w:type="pct"/>
            <w:tcBorders>
              <w:top w:val="single" w:color="000000" w:sz="6" w:space="0"/>
              <w:left w:val="single" w:color="000000" w:sz="6" w:space="0"/>
              <w:bottom w:val="single" w:color="000000" w:sz="6" w:space="0"/>
              <w:right w:val="single" w:color="000000" w:sz="6" w:space="0"/>
            </w:tcBorders>
            <w:vAlign w:val="center"/>
          </w:tcPr>
          <w:p>
            <w:pPr>
              <w:widowControl/>
              <w:jc w:val="center"/>
              <w:rPr>
                <w:rFonts w:hint="eastAsia" w:ascii="宋体" w:hAnsi="宋体" w:cs="宋体"/>
                <w:kern w:val="0"/>
                <w:szCs w:val="21"/>
              </w:rPr>
            </w:pPr>
            <w:r>
              <w:rPr>
                <w:rFonts w:hint="eastAsia" w:ascii="宋体" w:hAnsi="宋体" w:cs="宋体"/>
                <w:kern w:val="0"/>
                <w:szCs w:val="21"/>
              </w:rPr>
              <w:t>-</w:t>
            </w:r>
          </w:p>
        </w:tc>
      </w:tr>
      <w:tr>
        <w:tblPrEx>
          <w:tblCellMar>
            <w:top w:w="0" w:type="dxa"/>
            <w:left w:w="0" w:type="dxa"/>
            <w:bottom w:w="0" w:type="dxa"/>
            <w:right w:w="0" w:type="dxa"/>
          </w:tblCellMar>
        </w:tblPrEx>
        <w:trPr>
          <w:cantSplit/>
          <w:trHeight w:val="454" w:hRule="atLeast"/>
        </w:trPr>
        <w:tc>
          <w:tcPr>
            <w:tcW w:w="241" w:type="pct"/>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jc w:val="center"/>
              <w:rPr>
                <w:rFonts w:hint="eastAsia" w:ascii="宋体" w:hAnsi="宋体" w:cs="宋体"/>
                <w:kern w:val="0"/>
                <w:szCs w:val="21"/>
              </w:rPr>
            </w:pPr>
          </w:p>
        </w:tc>
        <w:tc>
          <w:tcPr>
            <w:tcW w:w="729" w:type="pct"/>
            <w:tcBorders>
              <w:top w:val="single" w:color="000000" w:sz="6" w:space="0"/>
              <w:left w:val="single" w:color="000000" w:sz="6" w:space="0"/>
              <w:bottom w:val="single" w:color="000000" w:sz="6" w:space="0"/>
              <w:right w:val="single" w:color="000000" w:sz="6" w:space="0"/>
            </w:tcBorders>
            <w:shd w:val="clear" w:color="auto" w:fill="auto"/>
            <w:tcMar>
              <w:top w:w="8" w:type="dxa"/>
              <w:left w:w="8" w:type="dxa"/>
              <w:bottom w:w="0" w:type="dxa"/>
              <w:right w:w="8" w:type="dxa"/>
            </w:tcMar>
            <w:vAlign w:val="center"/>
          </w:tcPr>
          <w:p>
            <w:pPr>
              <w:widowControl/>
              <w:jc w:val="center"/>
              <w:rPr>
                <w:rFonts w:hint="eastAsia" w:ascii="宋体" w:hAnsi="宋体" w:cs="宋体"/>
                <w:kern w:val="0"/>
                <w:szCs w:val="21"/>
              </w:rPr>
            </w:pPr>
            <w:r>
              <w:rPr>
                <w:rFonts w:hint="eastAsia" w:ascii="宋体" w:hAnsi="宋体" w:cs="宋体"/>
                <w:kern w:val="0"/>
                <w:szCs w:val="21"/>
              </w:rPr>
              <w:t>潞城金威商圈</w:t>
            </w:r>
          </w:p>
        </w:tc>
        <w:tc>
          <w:tcPr>
            <w:tcW w:w="1714" w:type="pct"/>
            <w:tcBorders>
              <w:top w:val="single" w:color="000000" w:sz="6" w:space="0"/>
              <w:left w:val="single" w:color="000000" w:sz="6" w:space="0"/>
              <w:bottom w:val="single" w:color="000000" w:sz="6" w:space="0"/>
              <w:right w:val="single" w:color="000000" w:sz="6" w:space="0"/>
            </w:tcBorders>
            <w:shd w:val="clear" w:color="auto" w:fill="auto"/>
            <w:tcMar>
              <w:top w:w="8" w:type="dxa"/>
              <w:left w:w="8" w:type="dxa"/>
              <w:bottom w:w="0" w:type="dxa"/>
              <w:right w:w="8" w:type="dxa"/>
            </w:tcMar>
            <w:vAlign w:val="center"/>
          </w:tcPr>
          <w:p>
            <w:pPr>
              <w:widowControl/>
              <w:jc w:val="left"/>
              <w:rPr>
                <w:rFonts w:hint="eastAsia" w:ascii="宋体" w:hAnsi="宋体" w:cs="宋体"/>
                <w:kern w:val="0"/>
                <w:szCs w:val="21"/>
              </w:rPr>
            </w:pPr>
            <w:r>
              <w:rPr>
                <w:rFonts w:hint="eastAsia" w:ascii="宋体" w:hAnsi="宋体" w:cs="宋体"/>
                <w:color w:val="000000"/>
                <w:kern w:val="0"/>
                <w:szCs w:val="21"/>
              </w:rPr>
              <w:t>以城市组团公共活动中心为导向的片区商圈</w:t>
            </w:r>
          </w:p>
        </w:tc>
        <w:tc>
          <w:tcPr>
            <w:tcW w:w="1716" w:type="pct"/>
            <w:tcBorders>
              <w:top w:val="single" w:color="000000" w:sz="6" w:space="0"/>
              <w:left w:val="single" w:color="000000" w:sz="6" w:space="0"/>
              <w:bottom w:val="single" w:color="000000" w:sz="6" w:space="0"/>
              <w:right w:val="single" w:color="000000" w:sz="6" w:space="0"/>
            </w:tcBorders>
            <w:shd w:val="clear" w:color="auto" w:fill="auto"/>
            <w:tcMar>
              <w:top w:w="8" w:type="dxa"/>
              <w:left w:w="8" w:type="dxa"/>
              <w:bottom w:w="0" w:type="dxa"/>
              <w:right w:w="8" w:type="dxa"/>
            </w:tcMar>
            <w:vAlign w:val="center"/>
          </w:tcPr>
          <w:p>
            <w:pPr>
              <w:widowControl/>
              <w:jc w:val="left"/>
              <w:rPr>
                <w:rFonts w:hint="eastAsia" w:ascii="宋体" w:hAnsi="宋体" w:cs="宋体"/>
                <w:kern w:val="0"/>
                <w:szCs w:val="21"/>
              </w:rPr>
            </w:pPr>
            <w:r>
              <w:rPr>
                <w:rFonts w:hint="eastAsia" w:ascii="宋体" w:hAnsi="宋体" w:cs="宋体"/>
                <w:kern w:val="0"/>
                <w:szCs w:val="21"/>
              </w:rPr>
              <w:t>以金威购物中心为主体，培育策划文化集市、快闪店、娱乐演艺等弹性业态。</w:t>
            </w:r>
          </w:p>
        </w:tc>
        <w:tc>
          <w:tcPr>
            <w:tcW w:w="600" w:type="pct"/>
            <w:tcBorders>
              <w:top w:val="single" w:color="000000" w:sz="6" w:space="0"/>
              <w:left w:val="single" w:color="000000" w:sz="6" w:space="0"/>
              <w:bottom w:val="single" w:color="000000" w:sz="6" w:space="0"/>
              <w:right w:val="single" w:color="000000" w:sz="6" w:space="0"/>
            </w:tcBorders>
            <w:vAlign w:val="center"/>
          </w:tcPr>
          <w:p>
            <w:pPr>
              <w:widowControl/>
              <w:jc w:val="center"/>
              <w:rPr>
                <w:rFonts w:hint="eastAsia" w:ascii="宋体" w:hAnsi="宋体" w:cs="宋体"/>
                <w:kern w:val="0"/>
                <w:szCs w:val="21"/>
              </w:rPr>
            </w:pPr>
            <w:r>
              <w:rPr>
                <w:rFonts w:hint="eastAsia" w:ascii="宋体" w:hAnsi="宋体" w:cs="宋体"/>
                <w:kern w:val="0"/>
                <w:szCs w:val="21"/>
              </w:rPr>
              <w:t>-</w:t>
            </w:r>
          </w:p>
        </w:tc>
      </w:tr>
      <w:tr>
        <w:tblPrEx>
          <w:tblCellMar>
            <w:top w:w="0" w:type="dxa"/>
            <w:left w:w="0" w:type="dxa"/>
            <w:bottom w:w="0" w:type="dxa"/>
            <w:right w:w="0" w:type="dxa"/>
          </w:tblCellMar>
        </w:tblPrEx>
        <w:trPr>
          <w:cantSplit/>
          <w:trHeight w:val="454" w:hRule="atLeast"/>
        </w:trPr>
        <w:tc>
          <w:tcPr>
            <w:tcW w:w="241" w:type="pct"/>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jc w:val="center"/>
              <w:rPr>
                <w:rFonts w:hint="eastAsia" w:ascii="宋体" w:hAnsi="宋体" w:cs="宋体"/>
                <w:kern w:val="0"/>
                <w:szCs w:val="21"/>
              </w:rPr>
            </w:pPr>
          </w:p>
        </w:tc>
        <w:tc>
          <w:tcPr>
            <w:tcW w:w="729" w:type="pct"/>
            <w:tcBorders>
              <w:top w:val="single" w:color="000000" w:sz="6" w:space="0"/>
              <w:left w:val="single" w:color="000000" w:sz="6" w:space="0"/>
              <w:bottom w:val="single" w:color="000000" w:sz="6" w:space="0"/>
              <w:right w:val="single" w:color="000000" w:sz="6" w:space="0"/>
            </w:tcBorders>
            <w:shd w:val="clear" w:color="auto" w:fill="auto"/>
            <w:tcMar>
              <w:top w:w="8" w:type="dxa"/>
              <w:left w:w="8" w:type="dxa"/>
              <w:bottom w:w="0" w:type="dxa"/>
              <w:right w:w="8" w:type="dxa"/>
            </w:tcMar>
            <w:vAlign w:val="center"/>
          </w:tcPr>
          <w:p>
            <w:pPr>
              <w:widowControl/>
              <w:jc w:val="center"/>
              <w:rPr>
                <w:rFonts w:hint="eastAsia" w:ascii="宋体" w:hAnsi="宋体" w:cs="宋体"/>
                <w:kern w:val="0"/>
                <w:szCs w:val="21"/>
              </w:rPr>
            </w:pPr>
            <w:r>
              <w:rPr>
                <w:rFonts w:hint="eastAsia" w:ascii="宋体" w:hAnsi="宋体" w:cs="宋体"/>
                <w:kern w:val="0"/>
                <w:szCs w:val="21"/>
              </w:rPr>
              <w:t>潞城东关商圈</w:t>
            </w:r>
          </w:p>
        </w:tc>
        <w:tc>
          <w:tcPr>
            <w:tcW w:w="1714" w:type="pct"/>
            <w:tcBorders>
              <w:top w:val="single" w:color="000000" w:sz="6" w:space="0"/>
              <w:left w:val="single" w:color="000000" w:sz="6" w:space="0"/>
              <w:bottom w:val="single" w:color="000000" w:sz="6" w:space="0"/>
              <w:right w:val="single" w:color="000000" w:sz="6" w:space="0"/>
            </w:tcBorders>
            <w:shd w:val="clear" w:color="auto" w:fill="auto"/>
            <w:tcMar>
              <w:top w:w="8" w:type="dxa"/>
              <w:left w:w="8" w:type="dxa"/>
              <w:bottom w:w="0" w:type="dxa"/>
              <w:right w:w="8" w:type="dxa"/>
            </w:tcMar>
            <w:vAlign w:val="center"/>
          </w:tcPr>
          <w:p>
            <w:pPr>
              <w:widowControl/>
              <w:jc w:val="left"/>
              <w:rPr>
                <w:rFonts w:hint="eastAsia" w:ascii="宋体" w:hAnsi="宋体" w:cs="宋体"/>
                <w:kern w:val="0"/>
                <w:szCs w:val="21"/>
              </w:rPr>
            </w:pPr>
            <w:r>
              <w:rPr>
                <w:rFonts w:hint="eastAsia" w:ascii="宋体" w:hAnsi="宋体" w:cs="宋体"/>
                <w:color w:val="000000"/>
                <w:kern w:val="0"/>
                <w:szCs w:val="21"/>
              </w:rPr>
              <w:t>服务于潞城东部居民的综合型商圈。</w:t>
            </w:r>
          </w:p>
        </w:tc>
        <w:tc>
          <w:tcPr>
            <w:tcW w:w="1716" w:type="pct"/>
            <w:tcBorders>
              <w:top w:val="single" w:color="000000" w:sz="6" w:space="0"/>
              <w:left w:val="single" w:color="000000" w:sz="6" w:space="0"/>
              <w:bottom w:val="single" w:color="000000" w:sz="6" w:space="0"/>
              <w:right w:val="single" w:color="000000" w:sz="6" w:space="0"/>
            </w:tcBorders>
            <w:shd w:val="clear" w:color="auto" w:fill="auto"/>
            <w:tcMar>
              <w:top w:w="8" w:type="dxa"/>
              <w:left w:w="8" w:type="dxa"/>
              <w:bottom w:w="0" w:type="dxa"/>
              <w:right w:w="8" w:type="dxa"/>
            </w:tcMar>
            <w:vAlign w:val="center"/>
          </w:tcPr>
          <w:p>
            <w:pPr>
              <w:widowControl/>
              <w:jc w:val="left"/>
              <w:rPr>
                <w:rFonts w:hint="eastAsia" w:ascii="宋体" w:hAnsi="宋体" w:cs="宋体"/>
                <w:kern w:val="0"/>
                <w:szCs w:val="21"/>
              </w:rPr>
            </w:pPr>
            <w:r>
              <w:rPr>
                <w:rFonts w:hint="eastAsia" w:ascii="宋体" w:hAnsi="宋体" w:cs="宋体"/>
                <w:kern w:val="0"/>
                <w:szCs w:val="21"/>
              </w:rPr>
              <w:t>结合片区城市更新整体开发，提升片区商业品质。</w:t>
            </w:r>
          </w:p>
        </w:tc>
        <w:tc>
          <w:tcPr>
            <w:tcW w:w="600" w:type="pct"/>
            <w:tcBorders>
              <w:top w:val="single" w:color="000000" w:sz="6" w:space="0"/>
              <w:left w:val="single" w:color="000000" w:sz="6" w:space="0"/>
              <w:bottom w:val="single" w:color="000000" w:sz="6" w:space="0"/>
              <w:right w:val="single" w:color="000000" w:sz="6" w:space="0"/>
            </w:tcBorders>
            <w:vAlign w:val="center"/>
          </w:tcPr>
          <w:p>
            <w:pPr>
              <w:widowControl/>
              <w:jc w:val="center"/>
              <w:rPr>
                <w:rFonts w:hint="eastAsia" w:ascii="宋体" w:hAnsi="宋体" w:cs="宋体"/>
                <w:kern w:val="0"/>
                <w:szCs w:val="21"/>
              </w:rPr>
            </w:pPr>
            <w:r>
              <w:rPr>
                <w:rFonts w:hint="eastAsia" w:ascii="宋体" w:hAnsi="宋体" w:cs="宋体"/>
                <w:kern w:val="0"/>
                <w:szCs w:val="21"/>
              </w:rPr>
              <w:t>远期新建</w:t>
            </w:r>
          </w:p>
        </w:tc>
      </w:tr>
    </w:tbl>
    <w:p>
      <w:pPr>
        <w:jc w:val="center"/>
        <w:rPr>
          <w:rFonts w:hint="eastAsia" w:ascii="楷体" w:hAnsi="楷体" w:eastAsia="楷体" w:cs="仿宋_GB2312"/>
          <w:sz w:val="24"/>
          <w:szCs w:val="24"/>
        </w:rPr>
      </w:pPr>
      <w:r>
        <w:rPr>
          <w:rFonts w:hint="eastAsia" w:ascii="仿宋_GB2312" w:hAnsi="黑体" w:eastAsia="仿宋_GB2312"/>
          <w:b/>
          <w:bCs/>
          <w:sz w:val="30"/>
          <w:szCs w:val="30"/>
        </w:rPr>
        <w:t xml:space="preserve">第十八条 </w:t>
      </w:r>
      <w:r>
        <w:rPr>
          <w:rFonts w:hint="eastAsia" w:ascii="仿宋_GB2312" w:hAnsi="黑体" w:eastAsia="仿宋_GB2312"/>
          <w:sz w:val="30"/>
          <w:szCs w:val="30"/>
        </w:rPr>
        <w:t>结合商圈建设推动商业业态升级发展</w:t>
      </w:r>
    </w:p>
    <w:p>
      <w:pPr>
        <w:spacing w:line="56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结合商圈建设力促首店首发经济，鼓励布局一批国际知名大型零售网点。结合新布局商圈的建设，着力引入仓储会员店、奥特莱斯、国际家居商店、精品生鲜超市、电商线下体验店等业态的国际国内知名企业，培育农业综合体、体育综合体、银龄购物中心等新型业态与模式。结合重点商圈的改造升级，进一步丰富潮流时尚、轻奢、运动、餐饮等国际知名品牌。</w:t>
      </w:r>
    </w:p>
    <w:p>
      <w:pPr>
        <w:spacing w:before="156" w:beforeLines="50" w:after="156" w:afterLines="50" w:line="560" w:lineRule="exact"/>
        <w:ind w:firstLine="602" w:firstLineChars="200"/>
        <w:outlineLvl w:val="1"/>
        <w:rPr>
          <w:rFonts w:hint="eastAsia" w:ascii="黑体" w:hAnsi="黑体" w:eastAsia="黑体"/>
          <w:b/>
          <w:bCs/>
          <w:sz w:val="30"/>
          <w:szCs w:val="30"/>
        </w:rPr>
      </w:pPr>
      <w:bookmarkStart w:id="12" w:name="_Toc183683953"/>
      <w:r>
        <w:rPr>
          <w:rFonts w:hint="eastAsia" w:ascii="黑体" w:hAnsi="黑体" w:eastAsia="黑体"/>
          <w:b/>
          <w:bCs/>
          <w:sz w:val="30"/>
          <w:szCs w:val="30"/>
        </w:rPr>
        <w:t>第三节 社区商业规划</w:t>
      </w:r>
      <w:bookmarkEnd w:id="12"/>
    </w:p>
    <w:p>
      <w:pPr>
        <w:spacing w:line="560" w:lineRule="exact"/>
        <w:ind w:firstLine="602" w:firstLineChars="200"/>
        <w:rPr>
          <w:rFonts w:hint="eastAsia" w:ascii="仿宋_GB2312" w:hAnsi="仿宋_GB2312" w:eastAsia="仿宋_GB2312" w:cs="仿宋_GB2312"/>
          <w:sz w:val="30"/>
          <w:szCs w:val="30"/>
        </w:rPr>
      </w:pPr>
      <w:r>
        <w:rPr>
          <w:rFonts w:hint="eastAsia" w:ascii="仿宋_GB2312" w:hAnsi="黑体" w:eastAsia="仿宋_GB2312"/>
          <w:b/>
          <w:bCs/>
          <w:sz w:val="30"/>
          <w:szCs w:val="30"/>
        </w:rPr>
        <w:t xml:space="preserve">第十九条 </w:t>
      </w:r>
      <w:r>
        <w:rPr>
          <w:rFonts w:hint="eastAsia" w:ascii="仿宋_GB2312" w:hAnsi="仿宋_GB2312" w:eastAsia="仿宋_GB2312" w:cs="仿宋_GB2312"/>
          <w:sz w:val="30"/>
          <w:szCs w:val="30"/>
        </w:rPr>
        <w:t>推动一刻钟便民生活圈全覆盖</w:t>
      </w:r>
    </w:p>
    <w:p>
      <w:pPr>
        <w:spacing w:line="56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以试点为带动，推动一刻钟便民生活圈建设全覆盖，全面提升居民社区服务获取便捷度。对照商务部一刻钟便民生活圈试点工作和《一刻钟便民生活圈建设指南》相关要求，按照试点先行、以点带面、逐步推广的模式全面提升城市社区便民服务设施建设。优先配齐基本保障类业态、因地制宜发展品质提升类业态，鼓励“一点多用”“一店多能”，到2025年推动社区便民生活圈内5分钟、10分钟步行范围内配齐“一店一早、一菜一修、一老一小”等基本保障类业态。</w:t>
      </w:r>
    </w:p>
    <w:p>
      <w:pPr>
        <w:spacing w:line="560" w:lineRule="exact"/>
        <w:ind w:firstLine="602" w:firstLineChars="200"/>
        <w:rPr>
          <w:rFonts w:hint="eastAsia" w:ascii="仿宋_GB2312" w:hAnsi="仿宋_GB2312" w:eastAsia="仿宋_GB2312" w:cs="仿宋_GB2312"/>
          <w:sz w:val="30"/>
          <w:szCs w:val="30"/>
        </w:rPr>
      </w:pPr>
      <w:r>
        <w:rPr>
          <w:rFonts w:hint="eastAsia" w:ascii="仿宋_GB2312" w:hAnsi="黑体" w:eastAsia="仿宋_GB2312"/>
          <w:b/>
          <w:bCs/>
          <w:sz w:val="30"/>
          <w:szCs w:val="30"/>
        </w:rPr>
        <w:t xml:space="preserve">第二十条 </w:t>
      </w:r>
      <w:r>
        <w:rPr>
          <w:rFonts w:hint="eastAsia" w:ascii="仿宋_GB2312" w:hAnsi="仿宋_GB2312" w:eastAsia="仿宋_GB2312" w:cs="仿宋_GB2312"/>
          <w:sz w:val="30"/>
          <w:szCs w:val="30"/>
        </w:rPr>
        <w:t>社区商业中心规划</w:t>
      </w:r>
    </w:p>
    <w:p>
      <w:pPr>
        <w:spacing w:line="560" w:lineRule="exact"/>
        <w:ind w:firstLine="600" w:firstLineChars="200"/>
        <w:rPr>
          <w:rFonts w:ascii="Times New Roman" w:hAnsi="Times New Roman" w:eastAsia="仿宋_GB2312"/>
          <w:color w:val="000000" w:themeColor="text1"/>
          <w:sz w:val="30"/>
          <w:szCs w:val="30"/>
          <w14:textFill>
            <w14:solidFill>
              <w14:schemeClr w14:val="tx1"/>
            </w14:solidFill>
          </w14:textFill>
        </w:rPr>
      </w:pPr>
      <w:r>
        <w:rPr>
          <w:rFonts w:ascii="Times New Roman" w:hAnsi="Times New Roman" w:eastAsia="仿宋_GB2312"/>
          <w:color w:val="000000" w:themeColor="text1"/>
          <w:sz w:val="30"/>
          <w:szCs w:val="30"/>
          <w14:textFill>
            <w14:solidFill>
              <w14:schemeClr w14:val="tx1"/>
            </w14:solidFill>
          </w14:textFill>
        </w:rPr>
        <w:t>根据现状社区商业服务覆盖情况</w:t>
      </w:r>
      <w:r>
        <w:rPr>
          <w:rFonts w:hint="eastAsia" w:ascii="Times New Roman" w:hAnsi="Times New Roman" w:eastAsia="仿宋_GB2312"/>
          <w:color w:val="000000" w:themeColor="text1"/>
          <w:sz w:val="30"/>
          <w:szCs w:val="30"/>
          <w14:textFill>
            <w14:solidFill>
              <w14:schemeClr w14:val="tx1"/>
            </w14:solidFill>
          </w14:textFill>
        </w:rPr>
        <w:t>结合</w:t>
      </w:r>
      <w:r>
        <w:rPr>
          <w:rFonts w:ascii="Times New Roman" w:hAnsi="Times New Roman" w:eastAsia="仿宋_GB2312"/>
          <w:color w:val="000000" w:themeColor="text1"/>
          <w:sz w:val="30"/>
          <w:szCs w:val="30"/>
          <w14:textFill>
            <w14:solidFill>
              <w14:schemeClr w14:val="tx1"/>
            </w14:solidFill>
          </w14:textFill>
        </w:rPr>
        <w:t>中心城区居住用地规划布局，配套</w:t>
      </w:r>
      <w:r>
        <w:rPr>
          <w:rFonts w:hint="eastAsia" w:ascii="Times New Roman" w:hAnsi="Times New Roman" w:eastAsia="仿宋_GB2312"/>
          <w:color w:val="000000" w:themeColor="text1"/>
          <w:sz w:val="30"/>
          <w:szCs w:val="30"/>
          <w14:textFill>
            <w14:solidFill>
              <w14:schemeClr w14:val="tx1"/>
            </w14:solidFill>
          </w14:textFill>
        </w:rPr>
        <w:t>建设</w:t>
      </w:r>
      <w:r>
        <w:rPr>
          <w:rFonts w:ascii="Times New Roman" w:hAnsi="Times New Roman" w:eastAsia="仿宋_GB2312"/>
          <w:color w:val="000000" w:themeColor="text1"/>
          <w:sz w:val="30"/>
          <w:szCs w:val="30"/>
          <w14:textFill>
            <w14:solidFill>
              <w14:schemeClr w14:val="tx1"/>
            </w14:solidFill>
          </w14:textFill>
        </w:rPr>
        <w:t>社区商业中心</w:t>
      </w:r>
      <w:bookmarkStart w:id="13" w:name="_Hlk56168786"/>
      <w:r>
        <w:rPr>
          <w:rFonts w:hint="eastAsia" w:ascii="Times New Roman" w:hAnsi="Times New Roman" w:eastAsia="仿宋_GB2312"/>
          <w:color w:val="000000" w:themeColor="text1"/>
          <w:sz w:val="30"/>
          <w:szCs w:val="30"/>
          <w14:textFill>
            <w14:solidFill>
              <w14:schemeClr w14:val="tx1"/>
            </w14:solidFill>
          </w14:textFill>
        </w:rPr>
        <w:t>，商业</w:t>
      </w:r>
      <w:r>
        <w:rPr>
          <w:rFonts w:ascii="Times New Roman" w:hAnsi="Times New Roman" w:eastAsia="仿宋_GB2312"/>
          <w:color w:val="000000" w:themeColor="text1"/>
          <w:sz w:val="30"/>
          <w:szCs w:val="30"/>
          <w14:textFill>
            <w14:solidFill>
              <w14:schemeClr w14:val="tx1"/>
            </w14:solidFill>
          </w14:textFill>
        </w:rPr>
        <w:t>总规模控制在5</w:t>
      </w:r>
      <w:r>
        <w:rPr>
          <w:rFonts w:hint="eastAsia" w:ascii="Times New Roman" w:hAnsi="Times New Roman" w:eastAsia="仿宋_GB2312"/>
          <w:color w:val="000000" w:themeColor="text1"/>
          <w:sz w:val="30"/>
          <w:szCs w:val="30"/>
          <w14:textFill>
            <w14:solidFill>
              <w14:schemeClr w14:val="tx1"/>
            </w14:solidFill>
          </w14:textFill>
        </w:rPr>
        <w:t>万</w:t>
      </w:r>
      <w:r>
        <w:rPr>
          <w:rFonts w:ascii="Times New Roman" w:hAnsi="Times New Roman" w:eastAsia="仿宋_GB2312"/>
          <w:color w:val="000000" w:themeColor="text1"/>
          <w:sz w:val="30"/>
          <w:szCs w:val="30"/>
          <w14:textFill>
            <w14:solidFill>
              <w14:schemeClr w14:val="tx1"/>
            </w14:solidFill>
          </w14:textFill>
        </w:rPr>
        <w:t>平方米</w:t>
      </w:r>
      <w:r>
        <w:rPr>
          <w:rFonts w:hint="eastAsia" w:ascii="Times New Roman" w:hAnsi="Times New Roman" w:eastAsia="仿宋_GB2312"/>
          <w:color w:val="000000" w:themeColor="text1"/>
          <w:sz w:val="30"/>
          <w:szCs w:val="30"/>
          <w14:textFill>
            <w14:solidFill>
              <w14:schemeClr w14:val="tx1"/>
            </w14:solidFill>
          </w14:textFill>
        </w:rPr>
        <w:t>以内</w:t>
      </w:r>
      <w:r>
        <w:rPr>
          <w:rFonts w:ascii="Times New Roman" w:hAnsi="Times New Roman" w:eastAsia="仿宋_GB2312"/>
          <w:color w:val="000000" w:themeColor="text1"/>
          <w:sz w:val="30"/>
          <w:szCs w:val="30"/>
          <w14:textFill>
            <w14:solidFill>
              <w14:schemeClr w14:val="tx1"/>
            </w14:solidFill>
          </w14:textFill>
        </w:rPr>
        <w:t>。</w:t>
      </w:r>
      <w:bookmarkEnd w:id="13"/>
      <w:r>
        <w:rPr>
          <w:rFonts w:ascii="Times New Roman" w:hAnsi="Times New Roman" w:eastAsia="仿宋_GB2312"/>
          <w:color w:val="000000" w:themeColor="text1"/>
          <w:sz w:val="30"/>
          <w:szCs w:val="30"/>
          <w14:textFill>
            <w14:solidFill>
              <w14:schemeClr w14:val="tx1"/>
            </w14:solidFill>
          </w14:textFill>
        </w:rPr>
        <w:t>改造提升现有以社区服务为主的购物中心，发展为综合社区商业服务中心。</w:t>
      </w:r>
      <w:r>
        <w:rPr>
          <w:rFonts w:hint="eastAsia" w:ascii="Times New Roman" w:hAnsi="Times New Roman" w:eastAsia="仿宋_GB2312"/>
          <w:color w:val="000000" w:themeColor="text1"/>
          <w:sz w:val="30"/>
          <w:szCs w:val="30"/>
          <w14:textFill>
            <w14:solidFill>
              <w14:schemeClr w14:val="tx1"/>
            </w14:solidFill>
          </w14:textFill>
        </w:rPr>
        <w:t>新建居住区以社区型购物中心为社区商业中心的主力业态，</w:t>
      </w:r>
      <w:r>
        <w:rPr>
          <w:rFonts w:ascii="Times New Roman" w:hAnsi="Times New Roman" w:eastAsia="仿宋_GB2312"/>
          <w:color w:val="000000" w:themeColor="text1"/>
          <w:sz w:val="30"/>
          <w:szCs w:val="30"/>
          <w14:textFill>
            <w14:solidFill>
              <w14:schemeClr w14:val="tx1"/>
            </w14:solidFill>
          </w14:textFill>
        </w:rPr>
        <w:t>并在购物中心内配套发展超市、农产品零售网点等社区服务业态。</w:t>
      </w:r>
      <w:r>
        <w:rPr>
          <w:rFonts w:hint="eastAsia" w:ascii="Times New Roman" w:hAnsi="Times New Roman" w:eastAsia="仿宋_GB2312"/>
          <w:color w:val="000000" w:themeColor="text1"/>
          <w:sz w:val="30"/>
          <w:szCs w:val="30"/>
          <w14:textFill>
            <w14:solidFill>
              <w14:schemeClr w14:val="tx1"/>
            </w14:solidFill>
          </w14:textFill>
        </w:rPr>
        <w:t>现状</w:t>
      </w:r>
      <w:r>
        <w:rPr>
          <w:rFonts w:ascii="Times New Roman" w:hAnsi="Times New Roman" w:eastAsia="仿宋_GB2312"/>
          <w:color w:val="000000" w:themeColor="text1"/>
          <w:sz w:val="30"/>
          <w:szCs w:val="30"/>
          <w14:textFill>
            <w14:solidFill>
              <w14:schemeClr w14:val="tx1"/>
            </w14:solidFill>
          </w14:textFill>
        </w:rPr>
        <w:t>居住区结合购物中心、商业街区、</w:t>
      </w:r>
      <w:r>
        <w:rPr>
          <w:rFonts w:hint="eastAsia" w:ascii="Times New Roman" w:hAnsi="Times New Roman" w:eastAsia="仿宋_GB2312"/>
          <w:color w:val="000000" w:themeColor="text1"/>
          <w:sz w:val="30"/>
          <w:szCs w:val="30"/>
          <w14:textFill>
            <w14:solidFill>
              <w14:schemeClr w14:val="tx1"/>
            </w14:solidFill>
          </w14:textFill>
        </w:rPr>
        <w:t>大型超市、</w:t>
      </w:r>
      <w:r>
        <w:rPr>
          <w:rFonts w:ascii="Times New Roman" w:hAnsi="Times New Roman" w:eastAsia="仿宋_GB2312"/>
          <w:color w:val="000000" w:themeColor="text1"/>
          <w:sz w:val="30"/>
          <w:szCs w:val="30"/>
          <w14:textFill>
            <w14:solidFill>
              <w14:schemeClr w14:val="tx1"/>
            </w14:solidFill>
          </w14:textFill>
        </w:rPr>
        <w:t>农贸市场等零售网点的改造布局社区商业中心。</w:t>
      </w:r>
    </w:p>
    <w:p>
      <w:pPr>
        <w:spacing w:line="56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按照与城市商圈错位互补，并衔接一刻钟便民生活圈建设，在中心城区范围内规划布局社区商业中心21个。其中，近期完善提升9个，新建2个，远期新建10个。</w:t>
      </w:r>
    </w:p>
    <w:p>
      <w:pPr>
        <w:spacing w:line="560" w:lineRule="exact"/>
        <w:jc w:val="center"/>
        <w:rPr>
          <w:rFonts w:hint="eastAsia" w:ascii="楷体" w:hAnsi="楷体" w:eastAsia="楷体" w:cs="仿宋_GB2312"/>
          <w:sz w:val="24"/>
          <w:szCs w:val="24"/>
        </w:rPr>
      </w:pPr>
      <w:r>
        <w:rPr>
          <w:rFonts w:hint="eastAsia" w:ascii="楷体" w:hAnsi="楷体" w:eastAsia="楷体" w:cs="仿宋_GB2312"/>
          <w:sz w:val="24"/>
          <w:szCs w:val="24"/>
        </w:rPr>
        <w:t>表3-3-1 社区商业中心规划一览表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6"/>
        <w:gridCol w:w="1047"/>
        <w:gridCol w:w="2538"/>
        <w:gridCol w:w="1549"/>
        <w:gridCol w:w="1297"/>
        <w:gridCol w:w="1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14" w:type="pct"/>
            <w:noWrap/>
            <w:vAlign w:val="center"/>
          </w:tcPr>
          <w:p>
            <w:pPr>
              <w:widowControl/>
              <w:jc w:val="center"/>
              <w:rPr>
                <w:rFonts w:hint="eastAsia" w:ascii="宋体" w:hAnsi="宋体" w:cs="宋体"/>
                <w:b/>
                <w:bCs/>
                <w:color w:val="000000"/>
                <w:szCs w:val="21"/>
              </w:rPr>
            </w:pPr>
            <w:r>
              <w:rPr>
                <w:rFonts w:hint="eastAsia" w:ascii="宋体" w:hAnsi="宋体" w:cs="宋体"/>
                <w:b/>
                <w:bCs/>
                <w:color w:val="000000"/>
                <w:szCs w:val="21"/>
              </w:rPr>
              <w:t>序号</w:t>
            </w:r>
          </w:p>
        </w:tc>
        <w:tc>
          <w:tcPr>
            <w:tcW w:w="614" w:type="pct"/>
            <w:noWrap/>
            <w:vAlign w:val="center"/>
          </w:tcPr>
          <w:p>
            <w:pPr>
              <w:widowControl/>
              <w:jc w:val="center"/>
              <w:rPr>
                <w:rFonts w:hint="eastAsia" w:ascii="宋体" w:hAnsi="宋体" w:cs="宋体"/>
                <w:b/>
                <w:bCs/>
                <w:color w:val="000000"/>
                <w:szCs w:val="21"/>
              </w:rPr>
            </w:pPr>
            <w:r>
              <w:rPr>
                <w:rFonts w:hint="eastAsia" w:ascii="宋体" w:hAnsi="宋体" w:cs="宋体"/>
                <w:b/>
                <w:bCs/>
                <w:color w:val="000000"/>
                <w:szCs w:val="21"/>
              </w:rPr>
              <w:t>区属</w:t>
            </w:r>
          </w:p>
        </w:tc>
        <w:tc>
          <w:tcPr>
            <w:tcW w:w="1489" w:type="pct"/>
            <w:noWrap/>
            <w:vAlign w:val="center"/>
          </w:tcPr>
          <w:p>
            <w:pPr>
              <w:widowControl/>
              <w:jc w:val="center"/>
              <w:rPr>
                <w:rFonts w:hint="eastAsia" w:ascii="宋体" w:hAnsi="宋体" w:cs="宋体"/>
                <w:b/>
                <w:bCs/>
                <w:color w:val="000000"/>
                <w:szCs w:val="21"/>
              </w:rPr>
            </w:pPr>
            <w:r>
              <w:rPr>
                <w:rFonts w:hint="eastAsia" w:ascii="宋体" w:hAnsi="宋体" w:cs="宋体"/>
                <w:b/>
                <w:bCs/>
                <w:color w:val="000000"/>
                <w:szCs w:val="21"/>
              </w:rPr>
              <w:t>名称</w:t>
            </w:r>
          </w:p>
        </w:tc>
        <w:tc>
          <w:tcPr>
            <w:tcW w:w="909" w:type="pct"/>
            <w:noWrap/>
            <w:vAlign w:val="center"/>
          </w:tcPr>
          <w:p>
            <w:pPr>
              <w:widowControl/>
              <w:jc w:val="center"/>
              <w:rPr>
                <w:rFonts w:hint="eastAsia" w:ascii="宋体" w:hAnsi="宋体" w:cs="宋体"/>
                <w:b/>
                <w:bCs/>
                <w:color w:val="000000"/>
                <w:szCs w:val="21"/>
              </w:rPr>
            </w:pPr>
            <w:r>
              <w:rPr>
                <w:rFonts w:hint="eastAsia" w:ascii="宋体" w:hAnsi="宋体" w:cs="宋体"/>
                <w:b/>
                <w:bCs/>
                <w:color w:val="000000"/>
                <w:szCs w:val="21"/>
              </w:rPr>
              <w:t>商业规模</w:t>
            </w:r>
          </w:p>
          <w:p>
            <w:pPr>
              <w:widowControl/>
              <w:jc w:val="center"/>
              <w:rPr>
                <w:rFonts w:hint="eastAsia" w:ascii="宋体" w:hAnsi="宋体" w:cs="宋体"/>
                <w:b/>
                <w:bCs/>
                <w:color w:val="000000"/>
                <w:szCs w:val="21"/>
              </w:rPr>
            </w:pPr>
            <w:r>
              <w:rPr>
                <w:rFonts w:hint="eastAsia" w:ascii="宋体" w:hAnsi="宋体" w:cs="宋体"/>
                <w:b/>
                <w:bCs/>
                <w:color w:val="000000"/>
                <w:szCs w:val="21"/>
              </w:rPr>
              <w:t>（万㎡）</w:t>
            </w:r>
          </w:p>
        </w:tc>
        <w:tc>
          <w:tcPr>
            <w:tcW w:w="761" w:type="pct"/>
            <w:noWrap/>
            <w:vAlign w:val="center"/>
          </w:tcPr>
          <w:p>
            <w:pPr>
              <w:widowControl/>
              <w:jc w:val="center"/>
              <w:rPr>
                <w:rFonts w:hint="eastAsia" w:ascii="宋体" w:hAnsi="宋体" w:cs="宋体"/>
                <w:b/>
                <w:bCs/>
                <w:color w:val="000000"/>
                <w:szCs w:val="21"/>
              </w:rPr>
            </w:pPr>
            <w:r>
              <w:rPr>
                <w:rFonts w:hint="eastAsia" w:ascii="宋体" w:hAnsi="宋体" w:cs="宋体"/>
                <w:b/>
                <w:bCs/>
                <w:color w:val="000000"/>
                <w:szCs w:val="21"/>
              </w:rPr>
              <w:t>规划引导</w:t>
            </w:r>
          </w:p>
        </w:tc>
        <w:tc>
          <w:tcPr>
            <w:tcW w:w="613" w:type="pct"/>
            <w:noWrap/>
            <w:vAlign w:val="center"/>
          </w:tcPr>
          <w:p>
            <w:pPr>
              <w:widowControl/>
              <w:jc w:val="center"/>
              <w:rPr>
                <w:rFonts w:hint="eastAsia" w:ascii="宋体" w:hAnsi="宋体" w:cs="宋体"/>
                <w:b/>
                <w:bCs/>
                <w:color w:val="000000"/>
                <w:szCs w:val="21"/>
              </w:rPr>
            </w:pPr>
            <w:r>
              <w:rPr>
                <w:rFonts w:hint="eastAsia" w:ascii="宋体" w:hAnsi="宋体" w:cs="宋体"/>
                <w:b/>
                <w:bCs/>
                <w:color w:val="000000"/>
                <w:szCs w:val="21"/>
              </w:rPr>
              <w:t>时序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4" w:type="pct"/>
            <w:noWrap/>
            <w:vAlign w:val="center"/>
          </w:tcPr>
          <w:p>
            <w:pPr>
              <w:widowControl/>
              <w:jc w:val="center"/>
              <w:rPr>
                <w:rFonts w:hint="eastAsia" w:ascii="宋体" w:hAnsi="宋体"/>
                <w:color w:val="000000"/>
                <w:szCs w:val="21"/>
              </w:rPr>
            </w:pPr>
            <w:r>
              <w:rPr>
                <w:rFonts w:hint="eastAsia" w:ascii="宋体" w:hAnsi="宋体" w:cstheme="minorBidi"/>
                <w:color w:val="000000"/>
                <w:szCs w:val="21"/>
              </w:rPr>
              <w:t>1</w:t>
            </w:r>
          </w:p>
        </w:tc>
        <w:tc>
          <w:tcPr>
            <w:tcW w:w="614"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潞州区</w:t>
            </w:r>
          </w:p>
        </w:tc>
        <w:tc>
          <w:tcPr>
            <w:tcW w:w="1489"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博源社区商业中心</w:t>
            </w:r>
          </w:p>
        </w:tc>
        <w:tc>
          <w:tcPr>
            <w:tcW w:w="909" w:type="pct"/>
            <w:noWrap/>
            <w:vAlign w:val="center"/>
          </w:tcPr>
          <w:p>
            <w:pPr>
              <w:widowControl/>
              <w:jc w:val="center"/>
              <w:rPr>
                <w:rFonts w:hint="eastAsia" w:ascii="宋体" w:hAnsi="宋体"/>
                <w:color w:val="000000"/>
                <w:szCs w:val="21"/>
              </w:rPr>
            </w:pPr>
            <w:r>
              <w:rPr>
                <w:rFonts w:hint="eastAsia" w:ascii="宋体" w:hAnsi="宋体" w:cstheme="minorBidi"/>
                <w:color w:val="000000"/>
                <w:szCs w:val="21"/>
              </w:rPr>
              <w:t>5</w:t>
            </w:r>
          </w:p>
        </w:tc>
        <w:tc>
          <w:tcPr>
            <w:tcW w:w="761"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改造升级</w:t>
            </w:r>
          </w:p>
        </w:tc>
        <w:tc>
          <w:tcPr>
            <w:tcW w:w="613"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4" w:type="pct"/>
            <w:noWrap/>
            <w:vAlign w:val="center"/>
          </w:tcPr>
          <w:p>
            <w:pPr>
              <w:widowControl/>
              <w:jc w:val="center"/>
              <w:rPr>
                <w:rFonts w:hint="eastAsia" w:ascii="宋体" w:hAnsi="宋体"/>
                <w:color w:val="000000"/>
                <w:szCs w:val="21"/>
              </w:rPr>
            </w:pPr>
            <w:r>
              <w:rPr>
                <w:rFonts w:hint="eastAsia" w:ascii="宋体" w:hAnsi="宋体" w:cstheme="minorBidi"/>
                <w:color w:val="000000"/>
                <w:szCs w:val="21"/>
              </w:rPr>
              <w:t>2</w:t>
            </w:r>
          </w:p>
        </w:tc>
        <w:tc>
          <w:tcPr>
            <w:tcW w:w="614"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潞州区</w:t>
            </w:r>
          </w:p>
        </w:tc>
        <w:tc>
          <w:tcPr>
            <w:tcW w:w="1489"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淮北社区商业中心</w:t>
            </w:r>
          </w:p>
        </w:tc>
        <w:tc>
          <w:tcPr>
            <w:tcW w:w="909" w:type="pct"/>
            <w:noWrap/>
            <w:vAlign w:val="center"/>
          </w:tcPr>
          <w:p>
            <w:pPr>
              <w:widowControl/>
              <w:jc w:val="center"/>
              <w:rPr>
                <w:rFonts w:hint="eastAsia" w:ascii="宋体" w:hAnsi="宋体"/>
                <w:color w:val="000000"/>
                <w:szCs w:val="21"/>
              </w:rPr>
            </w:pPr>
            <w:r>
              <w:rPr>
                <w:rFonts w:hint="eastAsia" w:ascii="宋体" w:hAnsi="宋体" w:cstheme="minorBidi"/>
                <w:color w:val="000000"/>
                <w:szCs w:val="21"/>
              </w:rPr>
              <w:t>5</w:t>
            </w:r>
          </w:p>
        </w:tc>
        <w:tc>
          <w:tcPr>
            <w:tcW w:w="761"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续建</w:t>
            </w:r>
          </w:p>
        </w:tc>
        <w:tc>
          <w:tcPr>
            <w:tcW w:w="613"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4" w:type="pct"/>
            <w:noWrap/>
            <w:vAlign w:val="center"/>
          </w:tcPr>
          <w:p>
            <w:pPr>
              <w:widowControl/>
              <w:jc w:val="center"/>
              <w:rPr>
                <w:rFonts w:hint="eastAsia" w:ascii="宋体" w:hAnsi="宋体"/>
                <w:color w:val="000000"/>
                <w:szCs w:val="21"/>
              </w:rPr>
            </w:pPr>
            <w:r>
              <w:rPr>
                <w:rFonts w:hint="eastAsia" w:ascii="宋体" w:hAnsi="宋体" w:cstheme="minorBidi"/>
                <w:color w:val="000000"/>
                <w:szCs w:val="21"/>
              </w:rPr>
              <w:t>3</w:t>
            </w:r>
          </w:p>
        </w:tc>
        <w:tc>
          <w:tcPr>
            <w:tcW w:w="614"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潞州区</w:t>
            </w:r>
          </w:p>
        </w:tc>
        <w:tc>
          <w:tcPr>
            <w:tcW w:w="1489"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五马社区商业中心</w:t>
            </w:r>
          </w:p>
        </w:tc>
        <w:tc>
          <w:tcPr>
            <w:tcW w:w="909" w:type="pct"/>
            <w:noWrap/>
            <w:vAlign w:val="center"/>
          </w:tcPr>
          <w:p>
            <w:pPr>
              <w:widowControl/>
              <w:jc w:val="center"/>
              <w:rPr>
                <w:rFonts w:hint="eastAsia" w:ascii="宋体" w:hAnsi="宋体"/>
                <w:color w:val="000000"/>
                <w:szCs w:val="21"/>
              </w:rPr>
            </w:pPr>
            <w:r>
              <w:rPr>
                <w:rFonts w:hint="eastAsia" w:ascii="宋体" w:hAnsi="宋体" w:cstheme="minorBidi"/>
                <w:color w:val="000000"/>
                <w:szCs w:val="21"/>
              </w:rPr>
              <w:t>3—5</w:t>
            </w:r>
          </w:p>
        </w:tc>
        <w:tc>
          <w:tcPr>
            <w:tcW w:w="761"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新建</w:t>
            </w:r>
          </w:p>
        </w:tc>
        <w:tc>
          <w:tcPr>
            <w:tcW w:w="613"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4" w:type="pct"/>
            <w:noWrap/>
            <w:vAlign w:val="center"/>
          </w:tcPr>
          <w:p>
            <w:pPr>
              <w:widowControl/>
              <w:jc w:val="center"/>
              <w:rPr>
                <w:rFonts w:hint="eastAsia" w:ascii="宋体" w:hAnsi="宋体"/>
                <w:color w:val="000000"/>
                <w:szCs w:val="21"/>
              </w:rPr>
            </w:pPr>
            <w:r>
              <w:rPr>
                <w:rFonts w:hint="eastAsia" w:ascii="宋体" w:hAnsi="宋体" w:cstheme="minorBidi"/>
                <w:color w:val="000000"/>
                <w:szCs w:val="21"/>
              </w:rPr>
              <w:t>4</w:t>
            </w:r>
          </w:p>
        </w:tc>
        <w:tc>
          <w:tcPr>
            <w:tcW w:w="614"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潞州区</w:t>
            </w:r>
          </w:p>
        </w:tc>
        <w:tc>
          <w:tcPr>
            <w:tcW w:w="1489"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塔岭社区商业中心</w:t>
            </w:r>
          </w:p>
        </w:tc>
        <w:tc>
          <w:tcPr>
            <w:tcW w:w="909" w:type="pct"/>
            <w:noWrap/>
            <w:vAlign w:val="center"/>
          </w:tcPr>
          <w:p>
            <w:pPr>
              <w:widowControl/>
              <w:jc w:val="center"/>
              <w:rPr>
                <w:rFonts w:hint="eastAsia" w:ascii="宋体" w:hAnsi="宋体"/>
                <w:color w:val="000000"/>
                <w:szCs w:val="21"/>
              </w:rPr>
            </w:pPr>
            <w:r>
              <w:rPr>
                <w:rFonts w:hint="eastAsia" w:ascii="宋体" w:hAnsi="宋体" w:cstheme="minorBidi"/>
                <w:color w:val="000000"/>
                <w:szCs w:val="21"/>
              </w:rPr>
              <w:t>2—3</w:t>
            </w:r>
          </w:p>
        </w:tc>
        <w:tc>
          <w:tcPr>
            <w:tcW w:w="761"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新建</w:t>
            </w:r>
          </w:p>
        </w:tc>
        <w:tc>
          <w:tcPr>
            <w:tcW w:w="613"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4" w:type="pct"/>
            <w:noWrap/>
            <w:vAlign w:val="center"/>
          </w:tcPr>
          <w:p>
            <w:pPr>
              <w:widowControl/>
              <w:jc w:val="center"/>
              <w:rPr>
                <w:rFonts w:hint="eastAsia" w:ascii="宋体" w:hAnsi="宋体"/>
                <w:color w:val="000000"/>
                <w:szCs w:val="21"/>
              </w:rPr>
            </w:pPr>
            <w:r>
              <w:rPr>
                <w:rFonts w:hint="eastAsia" w:ascii="宋体" w:hAnsi="宋体" w:cstheme="minorBidi"/>
                <w:color w:val="000000"/>
                <w:szCs w:val="21"/>
              </w:rPr>
              <w:t>5</w:t>
            </w:r>
          </w:p>
        </w:tc>
        <w:tc>
          <w:tcPr>
            <w:tcW w:w="614"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潞州区</w:t>
            </w:r>
          </w:p>
        </w:tc>
        <w:tc>
          <w:tcPr>
            <w:tcW w:w="1489"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南护城河社区商业中心</w:t>
            </w:r>
          </w:p>
        </w:tc>
        <w:tc>
          <w:tcPr>
            <w:tcW w:w="909" w:type="pct"/>
            <w:noWrap/>
            <w:vAlign w:val="center"/>
          </w:tcPr>
          <w:p>
            <w:pPr>
              <w:widowControl/>
              <w:jc w:val="center"/>
              <w:rPr>
                <w:rFonts w:hint="eastAsia" w:ascii="宋体" w:hAnsi="宋体"/>
                <w:color w:val="000000"/>
                <w:szCs w:val="21"/>
              </w:rPr>
            </w:pPr>
            <w:r>
              <w:rPr>
                <w:rFonts w:hint="eastAsia" w:ascii="宋体" w:hAnsi="宋体" w:cstheme="minorBidi"/>
                <w:color w:val="000000"/>
                <w:szCs w:val="21"/>
              </w:rPr>
              <w:t>3—5</w:t>
            </w:r>
          </w:p>
        </w:tc>
        <w:tc>
          <w:tcPr>
            <w:tcW w:w="761"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新建</w:t>
            </w:r>
          </w:p>
        </w:tc>
        <w:tc>
          <w:tcPr>
            <w:tcW w:w="613"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4" w:type="pct"/>
            <w:noWrap/>
            <w:vAlign w:val="center"/>
          </w:tcPr>
          <w:p>
            <w:pPr>
              <w:widowControl/>
              <w:jc w:val="center"/>
              <w:rPr>
                <w:rFonts w:hint="eastAsia" w:ascii="宋体" w:hAnsi="宋体"/>
                <w:color w:val="000000"/>
                <w:szCs w:val="21"/>
              </w:rPr>
            </w:pPr>
            <w:r>
              <w:rPr>
                <w:rFonts w:hint="eastAsia" w:ascii="宋体" w:hAnsi="宋体" w:cstheme="minorBidi"/>
                <w:color w:val="000000"/>
                <w:szCs w:val="21"/>
              </w:rPr>
              <w:t>6</w:t>
            </w:r>
          </w:p>
        </w:tc>
        <w:tc>
          <w:tcPr>
            <w:tcW w:w="614"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潞州区</w:t>
            </w:r>
          </w:p>
        </w:tc>
        <w:tc>
          <w:tcPr>
            <w:tcW w:w="1489"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堠北庄社区商业中心</w:t>
            </w:r>
          </w:p>
        </w:tc>
        <w:tc>
          <w:tcPr>
            <w:tcW w:w="909" w:type="pct"/>
            <w:noWrap/>
            <w:vAlign w:val="center"/>
          </w:tcPr>
          <w:p>
            <w:pPr>
              <w:widowControl/>
              <w:jc w:val="center"/>
              <w:rPr>
                <w:rFonts w:hint="eastAsia" w:ascii="宋体" w:hAnsi="宋体"/>
                <w:color w:val="000000"/>
                <w:szCs w:val="21"/>
              </w:rPr>
            </w:pPr>
            <w:r>
              <w:rPr>
                <w:rFonts w:hint="eastAsia" w:ascii="宋体" w:hAnsi="宋体" w:cstheme="minorBidi"/>
                <w:color w:val="000000"/>
                <w:szCs w:val="21"/>
              </w:rPr>
              <w:t>5</w:t>
            </w:r>
          </w:p>
        </w:tc>
        <w:tc>
          <w:tcPr>
            <w:tcW w:w="761"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新建</w:t>
            </w:r>
          </w:p>
        </w:tc>
        <w:tc>
          <w:tcPr>
            <w:tcW w:w="613"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4" w:type="pct"/>
            <w:noWrap/>
            <w:vAlign w:val="center"/>
          </w:tcPr>
          <w:p>
            <w:pPr>
              <w:widowControl/>
              <w:jc w:val="center"/>
              <w:rPr>
                <w:rFonts w:hint="eastAsia" w:ascii="宋体" w:hAnsi="宋体"/>
                <w:color w:val="000000"/>
                <w:szCs w:val="21"/>
              </w:rPr>
            </w:pPr>
            <w:r>
              <w:rPr>
                <w:rFonts w:hint="eastAsia" w:ascii="宋体" w:hAnsi="宋体" w:cstheme="minorBidi"/>
                <w:color w:val="000000"/>
                <w:szCs w:val="21"/>
              </w:rPr>
              <w:t>7</w:t>
            </w:r>
          </w:p>
        </w:tc>
        <w:tc>
          <w:tcPr>
            <w:tcW w:w="614"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潞州区</w:t>
            </w:r>
          </w:p>
        </w:tc>
        <w:tc>
          <w:tcPr>
            <w:tcW w:w="1489"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新邻里社区商业中心</w:t>
            </w:r>
          </w:p>
        </w:tc>
        <w:tc>
          <w:tcPr>
            <w:tcW w:w="909" w:type="pct"/>
            <w:noWrap/>
            <w:vAlign w:val="center"/>
          </w:tcPr>
          <w:p>
            <w:pPr>
              <w:widowControl/>
              <w:jc w:val="center"/>
              <w:rPr>
                <w:rFonts w:hint="eastAsia" w:ascii="宋体" w:hAnsi="宋体"/>
                <w:color w:val="000000"/>
                <w:szCs w:val="21"/>
              </w:rPr>
            </w:pPr>
            <w:r>
              <w:rPr>
                <w:rFonts w:hint="eastAsia" w:ascii="宋体" w:hAnsi="宋体" w:cstheme="minorBidi"/>
                <w:color w:val="000000"/>
                <w:szCs w:val="21"/>
              </w:rPr>
              <w:t>5</w:t>
            </w:r>
          </w:p>
        </w:tc>
        <w:tc>
          <w:tcPr>
            <w:tcW w:w="761"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续建</w:t>
            </w:r>
          </w:p>
        </w:tc>
        <w:tc>
          <w:tcPr>
            <w:tcW w:w="613"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4" w:type="pct"/>
            <w:noWrap/>
            <w:vAlign w:val="center"/>
          </w:tcPr>
          <w:p>
            <w:pPr>
              <w:widowControl/>
              <w:jc w:val="center"/>
              <w:rPr>
                <w:rFonts w:hint="eastAsia" w:ascii="宋体" w:hAnsi="宋体"/>
                <w:color w:val="000000"/>
                <w:szCs w:val="21"/>
              </w:rPr>
            </w:pPr>
            <w:r>
              <w:rPr>
                <w:rFonts w:hint="eastAsia" w:ascii="宋体" w:hAnsi="宋体" w:cstheme="minorBidi"/>
                <w:color w:val="000000"/>
                <w:szCs w:val="21"/>
              </w:rPr>
              <w:t>8</w:t>
            </w:r>
          </w:p>
        </w:tc>
        <w:tc>
          <w:tcPr>
            <w:tcW w:w="614"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潞州区</w:t>
            </w:r>
          </w:p>
        </w:tc>
        <w:tc>
          <w:tcPr>
            <w:tcW w:w="1489"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和平里社区商业中心</w:t>
            </w:r>
          </w:p>
        </w:tc>
        <w:tc>
          <w:tcPr>
            <w:tcW w:w="909" w:type="pct"/>
            <w:noWrap/>
            <w:vAlign w:val="center"/>
          </w:tcPr>
          <w:p>
            <w:pPr>
              <w:widowControl/>
              <w:jc w:val="center"/>
              <w:rPr>
                <w:rFonts w:hint="eastAsia" w:ascii="宋体" w:hAnsi="宋体"/>
                <w:color w:val="000000"/>
                <w:szCs w:val="21"/>
              </w:rPr>
            </w:pPr>
            <w:r>
              <w:rPr>
                <w:rFonts w:hint="eastAsia" w:ascii="宋体" w:hAnsi="宋体" w:cstheme="minorBidi"/>
                <w:color w:val="000000"/>
                <w:szCs w:val="21"/>
              </w:rPr>
              <w:t>3</w:t>
            </w:r>
          </w:p>
        </w:tc>
        <w:tc>
          <w:tcPr>
            <w:tcW w:w="761"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续建</w:t>
            </w:r>
          </w:p>
        </w:tc>
        <w:tc>
          <w:tcPr>
            <w:tcW w:w="613"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4" w:type="pct"/>
            <w:noWrap/>
            <w:vAlign w:val="center"/>
          </w:tcPr>
          <w:p>
            <w:pPr>
              <w:widowControl/>
              <w:jc w:val="center"/>
              <w:rPr>
                <w:rFonts w:hint="eastAsia" w:ascii="宋体" w:hAnsi="宋体"/>
                <w:color w:val="000000"/>
                <w:szCs w:val="21"/>
              </w:rPr>
            </w:pPr>
            <w:r>
              <w:rPr>
                <w:rFonts w:hint="eastAsia" w:ascii="宋体" w:hAnsi="宋体" w:cstheme="minorBidi"/>
                <w:color w:val="000000"/>
                <w:szCs w:val="21"/>
              </w:rPr>
              <w:t>9</w:t>
            </w:r>
          </w:p>
        </w:tc>
        <w:tc>
          <w:tcPr>
            <w:tcW w:w="614"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潞州区</w:t>
            </w:r>
          </w:p>
        </w:tc>
        <w:tc>
          <w:tcPr>
            <w:tcW w:w="1489"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鹿家庄社区商业中心</w:t>
            </w:r>
          </w:p>
        </w:tc>
        <w:tc>
          <w:tcPr>
            <w:tcW w:w="909" w:type="pct"/>
            <w:noWrap/>
            <w:vAlign w:val="center"/>
          </w:tcPr>
          <w:p>
            <w:pPr>
              <w:widowControl/>
              <w:jc w:val="center"/>
              <w:rPr>
                <w:rFonts w:hint="eastAsia" w:ascii="宋体" w:hAnsi="宋体"/>
                <w:color w:val="000000"/>
                <w:szCs w:val="21"/>
              </w:rPr>
            </w:pPr>
            <w:r>
              <w:rPr>
                <w:rFonts w:hint="eastAsia" w:ascii="宋体" w:hAnsi="宋体" w:cstheme="minorBidi"/>
                <w:color w:val="000000"/>
                <w:szCs w:val="21"/>
              </w:rPr>
              <w:t>3—5</w:t>
            </w:r>
          </w:p>
        </w:tc>
        <w:tc>
          <w:tcPr>
            <w:tcW w:w="761"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改造升级</w:t>
            </w:r>
          </w:p>
        </w:tc>
        <w:tc>
          <w:tcPr>
            <w:tcW w:w="613"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4" w:type="pct"/>
            <w:noWrap/>
            <w:vAlign w:val="center"/>
          </w:tcPr>
          <w:p>
            <w:pPr>
              <w:widowControl/>
              <w:jc w:val="center"/>
              <w:rPr>
                <w:rFonts w:hint="eastAsia" w:ascii="宋体" w:hAnsi="宋体"/>
                <w:color w:val="000000"/>
                <w:szCs w:val="21"/>
              </w:rPr>
            </w:pPr>
            <w:r>
              <w:rPr>
                <w:rFonts w:hint="eastAsia" w:ascii="宋体" w:hAnsi="宋体" w:cstheme="minorBidi"/>
                <w:color w:val="000000"/>
                <w:szCs w:val="21"/>
              </w:rPr>
              <w:t>10</w:t>
            </w:r>
          </w:p>
        </w:tc>
        <w:tc>
          <w:tcPr>
            <w:tcW w:w="614"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潞州区</w:t>
            </w:r>
          </w:p>
        </w:tc>
        <w:tc>
          <w:tcPr>
            <w:tcW w:w="1489"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滨湖南社区商业中心</w:t>
            </w:r>
          </w:p>
        </w:tc>
        <w:tc>
          <w:tcPr>
            <w:tcW w:w="909" w:type="pct"/>
            <w:noWrap/>
            <w:vAlign w:val="center"/>
          </w:tcPr>
          <w:p>
            <w:pPr>
              <w:widowControl/>
              <w:jc w:val="center"/>
              <w:rPr>
                <w:rFonts w:hint="eastAsia" w:ascii="宋体" w:hAnsi="宋体"/>
                <w:color w:val="000000"/>
                <w:szCs w:val="21"/>
              </w:rPr>
            </w:pPr>
            <w:r>
              <w:rPr>
                <w:rFonts w:hint="eastAsia" w:ascii="宋体" w:hAnsi="宋体" w:cstheme="minorBidi"/>
                <w:color w:val="000000"/>
                <w:szCs w:val="21"/>
              </w:rPr>
              <w:t>3—5</w:t>
            </w:r>
          </w:p>
        </w:tc>
        <w:tc>
          <w:tcPr>
            <w:tcW w:w="761"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新建</w:t>
            </w:r>
          </w:p>
        </w:tc>
        <w:tc>
          <w:tcPr>
            <w:tcW w:w="613"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4" w:type="pct"/>
            <w:noWrap/>
            <w:vAlign w:val="center"/>
          </w:tcPr>
          <w:p>
            <w:pPr>
              <w:widowControl/>
              <w:jc w:val="center"/>
              <w:rPr>
                <w:rFonts w:hint="eastAsia" w:ascii="宋体" w:hAnsi="宋体"/>
                <w:color w:val="000000"/>
                <w:szCs w:val="21"/>
              </w:rPr>
            </w:pPr>
            <w:r>
              <w:rPr>
                <w:rFonts w:hint="eastAsia" w:ascii="宋体" w:hAnsi="宋体" w:cstheme="minorBidi"/>
                <w:color w:val="000000"/>
                <w:szCs w:val="21"/>
              </w:rPr>
              <w:t>11</w:t>
            </w:r>
          </w:p>
        </w:tc>
        <w:tc>
          <w:tcPr>
            <w:tcW w:w="614"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潞州区</w:t>
            </w:r>
          </w:p>
        </w:tc>
        <w:tc>
          <w:tcPr>
            <w:tcW w:w="1489"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滨湖北社区商业中心</w:t>
            </w:r>
          </w:p>
        </w:tc>
        <w:tc>
          <w:tcPr>
            <w:tcW w:w="909" w:type="pct"/>
            <w:noWrap/>
            <w:vAlign w:val="center"/>
          </w:tcPr>
          <w:p>
            <w:pPr>
              <w:widowControl/>
              <w:jc w:val="center"/>
              <w:rPr>
                <w:rFonts w:hint="eastAsia" w:ascii="宋体" w:hAnsi="宋体"/>
                <w:color w:val="000000"/>
                <w:szCs w:val="21"/>
              </w:rPr>
            </w:pPr>
            <w:r>
              <w:rPr>
                <w:rFonts w:hint="eastAsia" w:ascii="宋体" w:hAnsi="宋体" w:cstheme="minorBidi"/>
                <w:color w:val="000000"/>
                <w:szCs w:val="21"/>
              </w:rPr>
              <w:t>3—5</w:t>
            </w:r>
          </w:p>
        </w:tc>
        <w:tc>
          <w:tcPr>
            <w:tcW w:w="761"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新建</w:t>
            </w:r>
          </w:p>
        </w:tc>
        <w:tc>
          <w:tcPr>
            <w:tcW w:w="613"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4" w:type="pct"/>
            <w:noWrap/>
            <w:vAlign w:val="center"/>
          </w:tcPr>
          <w:p>
            <w:pPr>
              <w:widowControl/>
              <w:jc w:val="center"/>
              <w:rPr>
                <w:rFonts w:hint="eastAsia" w:ascii="宋体" w:hAnsi="宋体"/>
                <w:color w:val="000000"/>
                <w:szCs w:val="21"/>
              </w:rPr>
            </w:pPr>
            <w:r>
              <w:rPr>
                <w:rFonts w:hint="eastAsia" w:ascii="宋体" w:hAnsi="宋体" w:cstheme="minorBidi"/>
                <w:color w:val="000000"/>
                <w:szCs w:val="21"/>
              </w:rPr>
              <w:t>12</w:t>
            </w:r>
          </w:p>
        </w:tc>
        <w:tc>
          <w:tcPr>
            <w:tcW w:w="614"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潞州区</w:t>
            </w:r>
          </w:p>
        </w:tc>
        <w:tc>
          <w:tcPr>
            <w:tcW w:w="1489"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老顶山社区商业中心</w:t>
            </w:r>
          </w:p>
        </w:tc>
        <w:tc>
          <w:tcPr>
            <w:tcW w:w="909" w:type="pct"/>
            <w:noWrap/>
            <w:vAlign w:val="center"/>
          </w:tcPr>
          <w:p>
            <w:pPr>
              <w:widowControl/>
              <w:jc w:val="center"/>
              <w:rPr>
                <w:rFonts w:hint="eastAsia" w:ascii="宋体" w:hAnsi="宋体"/>
                <w:color w:val="000000"/>
                <w:szCs w:val="21"/>
              </w:rPr>
            </w:pPr>
            <w:r>
              <w:rPr>
                <w:rFonts w:hint="eastAsia" w:ascii="宋体" w:hAnsi="宋体" w:cstheme="minorBidi"/>
                <w:color w:val="000000"/>
                <w:szCs w:val="21"/>
              </w:rPr>
              <w:t>3—5</w:t>
            </w:r>
          </w:p>
        </w:tc>
        <w:tc>
          <w:tcPr>
            <w:tcW w:w="761"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新建</w:t>
            </w:r>
          </w:p>
        </w:tc>
        <w:tc>
          <w:tcPr>
            <w:tcW w:w="613"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4" w:type="pct"/>
            <w:noWrap/>
            <w:vAlign w:val="center"/>
          </w:tcPr>
          <w:p>
            <w:pPr>
              <w:widowControl/>
              <w:jc w:val="center"/>
              <w:rPr>
                <w:rFonts w:hint="eastAsia" w:ascii="宋体" w:hAnsi="宋体"/>
                <w:color w:val="000000"/>
                <w:szCs w:val="21"/>
              </w:rPr>
            </w:pPr>
            <w:r>
              <w:rPr>
                <w:rFonts w:hint="eastAsia" w:ascii="宋体" w:hAnsi="宋体" w:cstheme="minorBidi"/>
                <w:color w:val="000000"/>
                <w:szCs w:val="21"/>
              </w:rPr>
              <w:t>13</w:t>
            </w:r>
          </w:p>
        </w:tc>
        <w:tc>
          <w:tcPr>
            <w:tcW w:w="614"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潞州区</w:t>
            </w:r>
          </w:p>
        </w:tc>
        <w:tc>
          <w:tcPr>
            <w:tcW w:w="1489"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长钢社区商业中心</w:t>
            </w:r>
          </w:p>
        </w:tc>
        <w:tc>
          <w:tcPr>
            <w:tcW w:w="909" w:type="pct"/>
            <w:noWrap/>
            <w:vAlign w:val="center"/>
          </w:tcPr>
          <w:p>
            <w:pPr>
              <w:widowControl/>
              <w:jc w:val="center"/>
              <w:rPr>
                <w:rFonts w:hint="eastAsia" w:ascii="宋体" w:hAnsi="宋体"/>
                <w:color w:val="000000"/>
                <w:szCs w:val="21"/>
              </w:rPr>
            </w:pPr>
            <w:r>
              <w:rPr>
                <w:rFonts w:hint="eastAsia" w:ascii="宋体" w:hAnsi="宋体" w:cstheme="minorBidi"/>
                <w:color w:val="000000"/>
                <w:szCs w:val="21"/>
              </w:rPr>
              <w:t>3—5</w:t>
            </w:r>
          </w:p>
        </w:tc>
        <w:tc>
          <w:tcPr>
            <w:tcW w:w="761"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改造升级</w:t>
            </w:r>
          </w:p>
        </w:tc>
        <w:tc>
          <w:tcPr>
            <w:tcW w:w="613"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4" w:type="pct"/>
            <w:noWrap/>
            <w:vAlign w:val="center"/>
          </w:tcPr>
          <w:p>
            <w:pPr>
              <w:widowControl/>
              <w:jc w:val="center"/>
              <w:rPr>
                <w:rFonts w:hint="eastAsia" w:ascii="宋体" w:hAnsi="宋体"/>
                <w:color w:val="000000"/>
                <w:szCs w:val="21"/>
              </w:rPr>
            </w:pPr>
            <w:r>
              <w:rPr>
                <w:rFonts w:hint="eastAsia" w:ascii="宋体" w:hAnsi="宋体" w:cstheme="minorBidi"/>
                <w:color w:val="000000"/>
                <w:szCs w:val="21"/>
              </w:rPr>
              <w:t>14</w:t>
            </w:r>
          </w:p>
        </w:tc>
        <w:tc>
          <w:tcPr>
            <w:tcW w:w="614"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潞城区</w:t>
            </w:r>
          </w:p>
        </w:tc>
        <w:tc>
          <w:tcPr>
            <w:tcW w:w="1489"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天脊社区商业中心</w:t>
            </w:r>
          </w:p>
        </w:tc>
        <w:tc>
          <w:tcPr>
            <w:tcW w:w="909" w:type="pct"/>
            <w:noWrap/>
            <w:vAlign w:val="center"/>
          </w:tcPr>
          <w:p>
            <w:pPr>
              <w:widowControl/>
              <w:jc w:val="center"/>
              <w:rPr>
                <w:rFonts w:hint="eastAsia" w:ascii="宋体" w:hAnsi="宋体"/>
                <w:color w:val="000000"/>
                <w:szCs w:val="21"/>
              </w:rPr>
            </w:pPr>
            <w:r>
              <w:rPr>
                <w:rFonts w:hint="eastAsia" w:ascii="宋体" w:hAnsi="宋体" w:cstheme="minorBidi"/>
                <w:color w:val="000000"/>
                <w:szCs w:val="21"/>
              </w:rPr>
              <w:t>2—3</w:t>
            </w:r>
          </w:p>
        </w:tc>
        <w:tc>
          <w:tcPr>
            <w:tcW w:w="761"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改造升级</w:t>
            </w:r>
          </w:p>
        </w:tc>
        <w:tc>
          <w:tcPr>
            <w:tcW w:w="613"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4" w:type="pct"/>
            <w:noWrap/>
            <w:vAlign w:val="center"/>
          </w:tcPr>
          <w:p>
            <w:pPr>
              <w:widowControl/>
              <w:jc w:val="center"/>
              <w:rPr>
                <w:rFonts w:hint="eastAsia" w:ascii="宋体" w:hAnsi="宋体"/>
                <w:color w:val="000000"/>
                <w:szCs w:val="21"/>
              </w:rPr>
            </w:pPr>
            <w:r>
              <w:rPr>
                <w:rFonts w:hint="eastAsia" w:ascii="宋体" w:hAnsi="宋体" w:cstheme="minorBidi"/>
                <w:color w:val="000000"/>
                <w:szCs w:val="21"/>
              </w:rPr>
              <w:t>15</w:t>
            </w:r>
          </w:p>
        </w:tc>
        <w:tc>
          <w:tcPr>
            <w:tcW w:w="614"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潞城区</w:t>
            </w:r>
          </w:p>
        </w:tc>
        <w:tc>
          <w:tcPr>
            <w:tcW w:w="1489"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人民街社区商业中心</w:t>
            </w:r>
          </w:p>
        </w:tc>
        <w:tc>
          <w:tcPr>
            <w:tcW w:w="909" w:type="pct"/>
            <w:noWrap/>
            <w:vAlign w:val="center"/>
          </w:tcPr>
          <w:p>
            <w:pPr>
              <w:widowControl/>
              <w:jc w:val="center"/>
              <w:rPr>
                <w:rFonts w:hint="eastAsia" w:ascii="宋体" w:hAnsi="宋体"/>
                <w:color w:val="000000"/>
                <w:szCs w:val="21"/>
              </w:rPr>
            </w:pPr>
            <w:r>
              <w:rPr>
                <w:rFonts w:hint="eastAsia" w:ascii="宋体" w:hAnsi="宋体" w:cstheme="minorBidi"/>
                <w:color w:val="000000"/>
                <w:szCs w:val="21"/>
              </w:rPr>
              <w:t>2—3</w:t>
            </w:r>
          </w:p>
        </w:tc>
        <w:tc>
          <w:tcPr>
            <w:tcW w:w="761"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续建</w:t>
            </w:r>
          </w:p>
        </w:tc>
        <w:tc>
          <w:tcPr>
            <w:tcW w:w="613"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4" w:type="pct"/>
            <w:noWrap/>
            <w:vAlign w:val="center"/>
          </w:tcPr>
          <w:p>
            <w:pPr>
              <w:widowControl/>
              <w:jc w:val="center"/>
              <w:rPr>
                <w:rFonts w:hint="eastAsia" w:ascii="宋体" w:hAnsi="宋体"/>
                <w:color w:val="000000"/>
                <w:szCs w:val="21"/>
              </w:rPr>
            </w:pPr>
            <w:r>
              <w:rPr>
                <w:rFonts w:hint="eastAsia" w:ascii="宋体" w:hAnsi="宋体" w:cstheme="minorBidi"/>
                <w:color w:val="000000"/>
                <w:szCs w:val="21"/>
              </w:rPr>
              <w:t>16</w:t>
            </w:r>
          </w:p>
        </w:tc>
        <w:tc>
          <w:tcPr>
            <w:tcW w:w="614"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上党区</w:t>
            </w:r>
          </w:p>
        </w:tc>
        <w:tc>
          <w:tcPr>
            <w:tcW w:w="1489"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韩店社区商业中心</w:t>
            </w:r>
          </w:p>
        </w:tc>
        <w:tc>
          <w:tcPr>
            <w:tcW w:w="909" w:type="pct"/>
            <w:noWrap/>
            <w:vAlign w:val="center"/>
          </w:tcPr>
          <w:p>
            <w:pPr>
              <w:widowControl/>
              <w:jc w:val="center"/>
              <w:rPr>
                <w:rFonts w:hint="eastAsia" w:ascii="宋体" w:hAnsi="宋体"/>
                <w:color w:val="000000"/>
                <w:szCs w:val="21"/>
              </w:rPr>
            </w:pPr>
            <w:r>
              <w:rPr>
                <w:rFonts w:hint="eastAsia" w:ascii="宋体" w:hAnsi="宋体" w:cstheme="minorBidi"/>
                <w:color w:val="000000"/>
                <w:szCs w:val="21"/>
              </w:rPr>
              <w:t>2—3</w:t>
            </w:r>
          </w:p>
        </w:tc>
        <w:tc>
          <w:tcPr>
            <w:tcW w:w="761"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改造升级</w:t>
            </w:r>
          </w:p>
        </w:tc>
        <w:tc>
          <w:tcPr>
            <w:tcW w:w="613"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4" w:type="pct"/>
            <w:noWrap/>
            <w:vAlign w:val="center"/>
          </w:tcPr>
          <w:p>
            <w:pPr>
              <w:widowControl/>
              <w:jc w:val="center"/>
              <w:rPr>
                <w:rFonts w:hint="eastAsia" w:ascii="宋体" w:hAnsi="宋体"/>
                <w:color w:val="000000"/>
                <w:szCs w:val="21"/>
              </w:rPr>
            </w:pPr>
            <w:r>
              <w:rPr>
                <w:rFonts w:hint="eastAsia" w:ascii="宋体" w:hAnsi="宋体" w:cstheme="minorBidi"/>
                <w:color w:val="000000"/>
                <w:szCs w:val="21"/>
              </w:rPr>
              <w:t>17</w:t>
            </w:r>
          </w:p>
        </w:tc>
        <w:tc>
          <w:tcPr>
            <w:tcW w:w="614"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上党区</w:t>
            </w:r>
          </w:p>
        </w:tc>
        <w:tc>
          <w:tcPr>
            <w:tcW w:w="1489"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体育东街社区商业中心</w:t>
            </w:r>
          </w:p>
        </w:tc>
        <w:tc>
          <w:tcPr>
            <w:tcW w:w="909" w:type="pct"/>
            <w:noWrap/>
            <w:vAlign w:val="center"/>
          </w:tcPr>
          <w:p>
            <w:pPr>
              <w:widowControl/>
              <w:jc w:val="center"/>
              <w:rPr>
                <w:rFonts w:hint="eastAsia" w:ascii="宋体" w:hAnsi="宋体"/>
                <w:color w:val="000000"/>
                <w:szCs w:val="21"/>
              </w:rPr>
            </w:pPr>
            <w:r>
              <w:rPr>
                <w:rFonts w:hint="eastAsia" w:ascii="宋体" w:hAnsi="宋体" w:cstheme="minorBidi"/>
                <w:color w:val="000000"/>
                <w:szCs w:val="21"/>
              </w:rPr>
              <w:t>2—3</w:t>
            </w:r>
          </w:p>
        </w:tc>
        <w:tc>
          <w:tcPr>
            <w:tcW w:w="761"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新建</w:t>
            </w:r>
          </w:p>
        </w:tc>
        <w:tc>
          <w:tcPr>
            <w:tcW w:w="613"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4" w:type="pct"/>
            <w:noWrap/>
            <w:vAlign w:val="center"/>
          </w:tcPr>
          <w:p>
            <w:pPr>
              <w:widowControl/>
              <w:jc w:val="center"/>
              <w:rPr>
                <w:rFonts w:hint="eastAsia" w:ascii="宋体" w:hAnsi="宋体"/>
                <w:color w:val="000000"/>
                <w:szCs w:val="21"/>
              </w:rPr>
            </w:pPr>
            <w:r>
              <w:rPr>
                <w:rFonts w:hint="eastAsia" w:ascii="宋体" w:hAnsi="宋体" w:cstheme="minorBidi"/>
                <w:color w:val="000000"/>
                <w:szCs w:val="21"/>
              </w:rPr>
              <w:t>18</w:t>
            </w:r>
          </w:p>
        </w:tc>
        <w:tc>
          <w:tcPr>
            <w:tcW w:w="614"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上党区</w:t>
            </w:r>
          </w:p>
        </w:tc>
        <w:tc>
          <w:tcPr>
            <w:tcW w:w="1489"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五龙西街社区商业中心</w:t>
            </w:r>
          </w:p>
        </w:tc>
        <w:tc>
          <w:tcPr>
            <w:tcW w:w="909" w:type="pct"/>
            <w:noWrap/>
            <w:vAlign w:val="center"/>
          </w:tcPr>
          <w:p>
            <w:pPr>
              <w:widowControl/>
              <w:jc w:val="center"/>
              <w:rPr>
                <w:rFonts w:hint="eastAsia" w:ascii="宋体" w:hAnsi="宋体"/>
                <w:color w:val="000000"/>
                <w:szCs w:val="21"/>
              </w:rPr>
            </w:pPr>
            <w:r>
              <w:rPr>
                <w:rFonts w:hint="eastAsia" w:ascii="宋体" w:hAnsi="宋体" w:cstheme="minorBidi"/>
                <w:color w:val="000000"/>
                <w:szCs w:val="21"/>
              </w:rPr>
              <w:t>2—3</w:t>
            </w:r>
          </w:p>
        </w:tc>
        <w:tc>
          <w:tcPr>
            <w:tcW w:w="761"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新建</w:t>
            </w:r>
          </w:p>
        </w:tc>
        <w:tc>
          <w:tcPr>
            <w:tcW w:w="613"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4" w:type="pct"/>
            <w:noWrap/>
            <w:vAlign w:val="center"/>
          </w:tcPr>
          <w:p>
            <w:pPr>
              <w:widowControl/>
              <w:jc w:val="center"/>
              <w:rPr>
                <w:rFonts w:hint="eastAsia" w:ascii="宋体" w:hAnsi="宋体"/>
                <w:color w:val="000000"/>
                <w:szCs w:val="21"/>
              </w:rPr>
            </w:pPr>
            <w:r>
              <w:rPr>
                <w:rFonts w:hint="eastAsia" w:ascii="宋体" w:hAnsi="宋体" w:cstheme="minorBidi"/>
                <w:color w:val="000000"/>
                <w:szCs w:val="21"/>
              </w:rPr>
              <w:t>19</w:t>
            </w:r>
          </w:p>
        </w:tc>
        <w:tc>
          <w:tcPr>
            <w:tcW w:w="614"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上党区</w:t>
            </w:r>
          </w:p>
        </w:tc>
        <w:tc>
          <w:tcPr>
            <w:tcW w:w="1489"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南董社区商业中心</w:t>
            </w:r>
          </w:p>
        </w:tc>
        <w:tc>
          <w:tcPr>
            <w:tcW w:w="909" w:type="pct"/>
            <w:noWrap/>
            <w:vAlign w:val="center"/>
          </w:tcPr>
          <w:p>
            <w:pPr>
              <w:widowControl/>
              <w:jc w:val="center"/>
              <w:rPr>
                <w:rFonts w:hint="eastAsia" w:ascii="宋体" w:hAnsi="宋体"/>
                <w:color w:val="000000"/>
                <w:szCs w:val="21"/>
              </w:rPr>
            </w:pPr>
            <w:r>
              <w:rPr>
                <w:rFonts w:hint="eastAsia" w:ascii="宋体" w:hAnsi="宋体" w:cstheme="minorBidi"/>
                <w:color w:val="000000"/>
                <w:szCs w:val="21"/>
              </w:rPr>
              <w:t>1—2</w:t>
            </w:r>
          </w:p>
        </w:tc>
        <w:tc>
          <w:tcPr>
            <w:tcW w:w="761"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新建</w:t>
            </w:r>
          </w:p>
        </w:tc>
        <w:tc>
          <w:tcPr>
            <w:tcW w:w="613"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4" w:type="pct"/>
            <w:noWrap/>
            <w:vAlign w:val="center"/>
          </w:tcPr>
          <w:p>
            <w:pPr>
              <w:widowControl/>
              <w:jc w:val="center"/>
              <w:rPr>
                <w:rFonts w:hint="eastAsia" w:ascii="宋体" w:hAnsi="宋体"/>
                <w:color w:val="000000"/>
                <w:szCs w:val="21"/>
              </w:rPr>
            </w:pPr>
            <w:r>
              <w:rPr>
                <w:rFonts w:hint="eastAsia" w:ascii="宋体" w:hAnsi="宋体" w:cstheme="minorBidi"/>
                <w:color w:val="000000"/>
                <w:szCs w:val="21"/>
              </w:rPr>
              <w:t>20</w:t>
            </w:r>
          </w:p>
        </w:tc>
        <w:tc>
          <w:tcPr>
            <w:tcW w:w="614"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屯留区</w:t>
            </w:r>
          </w:p>
        </w:tc>
        <w:tc>
          <w:tcPr>
            <w:tcW w:w="1489"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建设南路社区商业中心</w:t>
            </w:r>
          </w:p>
        </w:tc>
        <w:tc>
          <w:tcPr>
            <w:tcW w:w="909" w:type="pct"/>
            <w:noWrap/>
            <w:vAlign w:val="center"/>
          </w:tcPr>
          <w:p>
            <w:pPr>
              <w:widowControl/>
              <w:jc w:val="center"/>
              <w:rPr>
                <w:rFonts w:hint="eastAsia" w:ascii="宋体" w:hAnsi="宋体"/>
                <w:color w:val="000000"/>
                <w:szCs w:val="21"/>
              </w:rPr>
            </w:pPr>
            <w:r>
              <w:rPr>
                <w:rFonts w:hint="eastAsia" w:ascii="宋体" w:hAnsi="宋体" w:cstheme="minorBidi"/>
                <w:color w:val="000000"/>
                <w:szCs w:val="21"/>
              </w:rPr>
              <w:t>1—2</w:t>
            </w:r>
          </w:p>
        </w:tc>
        <w:tc>
          <w:tcPr>
            <w:tcW w:w="761"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新建</w:t>
            </w:r>
          </w:p>
        </w:tc>
        <w:tc>
          <w:tcPr>
            <w:tcW w:w="613"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4" w:type="pct"/>
            <w:noWrap/>
            <w:vAlign w:val="center"/>
          </w:tcPr>
          <w:p>
            <w:pPr>
              <w:widowControl/>
              <w:jc w:val="center"/>
              <w:rPr>
                <w:rFonts w:hint="eastAsia" w:ascii="宋体" w:hAnsi="宋体"/>
                <w:color w:val="000000"/>
                <w:szCs w:val="21"/>
              </w:rPr>
            </w:pPr>
            <w:r>
              <w:rPr>
                <w:rFonts w:hint="eastAsia" w:ascii="宋体" w:hAnsi="宋体" w:cstheme="minorBidi"/>
                <w:color w:val="000000"/>
                <w:szCs w:val="21"/>
              </w:rPr>
              <w:t>21</w:t>
            </w:r>
          </w:p>
        </w:tc>
        <w:tc>
          <w:tcPr>
            <w:tcW w:w="614"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屯留区</w:t>
            </w:r>
          </w:p>
        </w:tc>
        <w:tc>
          <w:tcPr>
            <w:tcW w:w="1489"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瓶城西街社区商业中心</w:t>
            </w:r>
          </w:p>
        </w:tc>
        <w:tc>
          <w:tcPr>
            <w:tcW w:w="909" w:type="pct"/>
            <w:noWrap/>
            <w:vAlign w:val="center"/>
          </w:tcPr>
          <w:p>
            <w:pPr>
              <w:widowControl/>
              <w:jc w:val="center"/>
              <w:rPr>
                <w:rFonts w:hint="eastAsia" w:ascii="宋体" w:hAnsi="宋体"/>
                <w:color w:val="000000"/>
                <w:szCs w:val="21"/>
              </w:rPr>
            </w:pPr>
            <w:r>
              <w:rPr>
                <w:rFonts w:hint="eastAsia" w:ascii="宋体" w:hAnsi="宋体" w:cstheme="minorBidi"/>
                <w:color w:val="000000"/>
                <w:szCs w:val="21"/>
              </w:rPr>
              <w:t>2—3</w:t>
            </w:r>
          </w:p>
        </w:tc>
        <w:tc>
          <w:tcPr>
            <w:tcW w:w="761"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新建</w:t>
            </w:r>
          </w:p>
        </w:tc>
        <w:tc>
          <w:tcPr>
            <w:tcW w:w="613" w:type="pct"/>
            <w:noWrap/>
            <w:vAlign w:val="center"/>
          </w:tcPr>
          <w:p>
            <w:pPr>
              <w:widowControl/>
              <w:jc w:val="center"/>
              <w:rPr>
                <w:rFonts w:hint="eastAsia" w:ascii="宋体" w:hAnsi="宋体" w:cs="宋体"/>
                <w:color w:val="000000"/>
                <w:szCs w:val="21"/>
              </w:rPr>
            </w:pPr>
            <w:r>
              <w:rPr>
                <w:rFonts w:hint="eastAsia" w:ascii="宋体" w:hAnsi="宋体" w:cs="宋体"/>
                <w:color w:val="000000"/>
                <w:szCs w:val="21"/>
              </w:rPr>
              <w:t>远期</w:t>
            </w:r>
          </w:p>
        </w:tc>
      </w:tr>
    </w:tbl>
    <w:p>
      <w:pPr>
        <w:spacing w:line="560" w:lineRule="exact"/>
        <w:ind w:firstLine="602" w:firstLineChars="200"/>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第二十一条</w:t>
      </w:r>
      <w:r>
        <w:rPr>
          <w:rFonts w:hint="eastAsia" w:ascii="仿宋_GB2312" w:hAnsi="仿宋_GB2312" w:eastAsia="仿宋_GB2312" w:cs="仿宋_GB2312"/>
          <w:sz w:val="30"/>
          <w:szCs w:val="30"/>
        </w:rPr>
        <w:t xml:space="preserve"> 园区商业规划</w:t>
      </w:r>
    </w:p>
    <w:p>
      <w:pPr>
        <w:spacing w:line="560" w:lineRule="exact"/>
        <w:ind w:firstLine="600" w:firstLineChars="200"/>
        <w:rPr>
          <w:rFonts w:hint="eastAsia" w:ascii="仿宋_GB2312" w:hAnsi="黑体" w:eastAsia="仿宋_GB2312"/>
          <w:sz w:val="30"/>
          <w:szCs w:val="30"/>
        </w:rPr>
      </w:pPr>
      <w:r>
        <w:rPr>
          <w:rFonts w:hint="eastAsia" w:ascii="仿宋_GB2312" w:hAnsi="黑体" w:eastAsia="仿宋_GB2312"/>
          <w:sz w:val="30"/>
          <w:szCs w:val="30"/>
        </w:rPr>
        <w:t>1. 根据产业园区布局，规划配套建设2处园区商业中心，其中，近期新建1个，远期新建1个。具体如下。</w:t>
      </w:r>
    </w:p>
    <w:p>
      <w:pPr>
        <w:spacing w:line="560" w:lineRule="exact"/>
        <w:jc w:val="center"/>
        <w:rPr>
          <w:rFonts w:hint="eastAsia" w:ascii="楷体" w:hAnsi="楷体" w:eastAsia="楷体" w:cs="仿宋_GB2312"/>
          <w:sz w:val="24"/>
          <w:szCs w:val="24"/>
        </w:rPr>
      </w:pPr>
      <w:r>
        <w:rPr>
          <w:rFonts w:hint="eastAsia" w:ascii="楷体" w:hAnsi="楷体" w:eastAsia="楷体" w:cs="仿宋_GB2312"/>
          <w:sz w:val="24"/>
          <w:szCs w:val="24"/>
        </w:rPr>
        <w:t>表3-3-2 园区商业中心规划一览表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6"/>
        <w:gridCol w:w="1047"/>
        <w:gridCol w:w="2538"/>
        <w:gridCol w:w="1549"/>
        <w:gridCol w:w="1297"/>
        <w:gridCol w:w="1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4" w:type="pct"/>
            <w:shd w:val="clear" w:color="auto" w:fill="auto"/>
            <w:noWrap/>
            <w:vAlign w:val="center"/>
          </w:tcPr>
          <w:p>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序号</w:t>
            </w:r>
          </w:p>
        </w:tc>
        <w:tc>
          <w:tcPr>
            <w:tcW w:w="614" w:type="pct"/>
            <w:shd w:val="clear" w:color="auto" w:fill="auto"/>
            <w:noWrap/>
            <w:vAlign w:val="center"/>
          </w:tcPr>
          <w:p>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区属</w:t>
            </w:r>
          </w:p>
        </w:tc>
        <w:tc>
          <w:tcPr>
            <w:tcW w:w="1489" w:type="pct"/>
            <w:shd w:val="clear" w:color="auto" w:fill="auto"/>
            <w:noWrap/>
            <w:vAlign w:val="center"/>
          </w:tcPr>
          <w:p>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名称</w:t>
            </w:r>
          </w:p>
        </w:tc>
        <w:tc>
          <w:tcPr>
            <w:tcW w:w="909" w:type="pct"/>
            <w:shd w:val="clear" w:color="auto" w:fill="auto"/>
            <w:noWrap/>
            <w:vAlign w:val="center"/>
          </w:tcPr>
          <w:p>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规模（万㎡）</w:t>
            </w:r>
          </w:p>
        </w:tc>
        <w:tc>
          <w:tcPr>
            <w:tcW w:w="761" w:type="pct"/>
            <w:shd w:val="clear" w:color="auto" w:fill="auto"/>
            <w:noWrap/>
            <w:vAlign w:val="center"/>
          </w:tcPr>
          <w:p>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规划引导</w:t>
            </w:r>
          </w:p>
        </w:tc>
        <w:tc>
          <w:tcPr>
            <w:tcW w:w="613" w:type="pct"/>
            <w:shd w:val="clear" w:color="auto" w:fill="auto"/>
            <w:noWrap/>
            <w:vAlign w:val="center"/>
          </w:tcPr>
          <w:p>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时序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4" w:type="pct"/>
            <w:shd w:val="clear" w:color="auto" w:fill="auto"/>
            <w:noWrap/>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w:t>
            </w:r>
          </w:p>
        </w:tc>
        <w:tc>
          <w:tcPr>
            <w:tcW w:w="614" w:type="pct"/>
            <w:shd w:val="clear" w:color="auto" w:fill="auto"/>
            <w:noWrap/>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潞州区</w:t>
            </w:r>
          </w:p>
        </w:tc>
        <w:tc>
          <w:tcPr>
            <w:tcW w:w="1489" w:type="pct"/>
            <w:shd w:val="clear" w:color="auto" w:fill="auto"/>
            <w:noWrap/>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金源路园区商业中心</w:t>
            </w:r>
          </w:p>
        </w:tc>
        <w:tc>
          <w:tcPr>
            <w:tcW w:w="909" w:type="pct"/>
            <w:shd w:val="clear" w:color="auto" w:fill="auto"/>
            <w:noWrap/>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2—3</w:t>
            </w:r>
          </w:p>
        </w:tc>
        <w:tc>
          <w:tcPr>
            <w:tcW w:w="761" w:type="pct"/>
            <w:shd w:val="clear" w:color="auto" w:fill="auto"/>
            <w:noWrap/>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新建</w:t>
            </w:r>
          </w:p>
        </w:tc>
        <w:tc>
          <w:tcPr>
            <w:tcW w:w="613" w:type="pct"/>
            <w:shd w:val="clear" w:color="auto" w:fill="auto"/>
            <w:noWrap/>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4" w:type="pct"/>
            <w:shd w:val="clear" w:color="auto" w:fill="auto"/>
            <w:noWrap/>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w:t>
            </w:r>
          </w:p>
        </w:tc>
        <w:tc>
          <w:tcPr>
            <w:tcW w:w="614" w:type="pct"/>
            <w:shd w:val="clear" w:color="auto" w:fill="auto"/>
            <w:noWrap/>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潞州区</w:t>
            </w:r>
          </w:p>
        </w:tc>
        <w:tc>
          <w:tcPr>
            <w:tcW w:w="1489" w:type="pct"/>
            <w:shd w:val="clear" w:color="auto" w:fill="auto"/>
            <w:noWrap/>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高新北园区商业中心</w:t>
            </w:r>
          </w:p>
        </w:tc>
        <w:tc>
          <w:tcPr>
            <w:tcW w:w="909" w:type="pct"/>
            <w:shd w:val="clear" w:color="auto" w:fill="auto"/>
            <w:noWrap/>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2—3</w:t>
            </w:r>
          </w:p>
        </w:tc>
        <w:tc>
          <w:tcPr>
            <w:tcW w:w="761" w:type="pct"/>
            <w:shd w:val="clear" w:color="auto" w:fill="auto"/>
            <w:noWrap/>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新建</w:t>
            </w:r>
          </w:p>
        </w:tc>
        <w:tc>
          <w:tcPr>
            <w:tcW w:w="613" w:type="pct"/>
            <w:shd w:val="clear" w:color="auto" w:fill="auto"/>
            <w:noWrap/>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远期</w:t>
            </w:r>
          </w:p>
        </w:tc>
      </w:tr>
    </w:tbl>
    <w:p>
      <w:pPr>
        <w:spacing w:line="560" w:lineRule="exact"/>
        <w:ind w:firstLine="600" w:firstLineChars="200"/>
        <w:rPr>
          <w:rFonts w:hint="eastAsia" w:ascii="仿宋_GB2312" w:hAnsi="黑体" w:eastAsia="仿宋_GB2312"/>
          <w:sz w:val="30"/>
          <w:szCs w:val="30"/>
        </w:rPr>
      </w:pPr>
      <w:r>
        <w:rPr>
          <w:rFonts w:hint="eastAsia" w:ascii="仿宋_GB2312" w:hAnsi="黑体" w:eastAsia="仿宋_GB2312"/>
          <w:sz w:val="30"/>
          <w:szCs w:val="30"/>
        </w:rPr>
        <w:t>2. 规划引导</w:t>
      </w:r>
    </w:p>
    <w:p>
      <w:pPr>
        <w:spacing w:line="560" w:lineRule="exact"/>
        <w:ind w:firstLine="600" w:firstLineChars="200"/>
        <w:rPr>
          <w:rFonts w:hint="eastAsia" w:ascii="仿宋_GB2312" w:hAnsi="黑体" w:eastAsia="仿宋_GB2312"/>
          <w:sz w:val="30"/>
          <w:szCs w:val="30"/>
        </w:rPr>
      </w:pPr>
      <w:r>
        <w:rPr>
          <w:rFonts w:hint="eastAsia" w:ascii="仿宋_GB2312" w:hAnsi="黑体" w:eastAsia="仿宋_GB2312"/>
          <w:sz w:val="30"/>
          <w:szCs w:val="30"/>
        </w:rPr>
        <w:t>园区商业中心内优先发展中小型综合超市和餐饮网点，配套发展文化、娱乐等休闲网点和金融网点；合理布局美容美发、家庭服务和维修等生活服务网点；根据不同产业园区的特色，适当布置商务会馆、咖啡厅等中高档的商务交流服务网点，发展相关的信息服务网点。</w:t>
      </w:r>
    </w:p>
    <w:p>
      <w:pPr>
        <w:spacing w:line="560" w:lineRule="exact"/>
        <w:ind w:firstLine="602" w:firstLineChars="200"/>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第二十二条</w:t>
      </w:r>
      <w:r>
        <w:rPr>
          <w:rFonts w:hint="eastAsia" w:ascii="仿宋_GB2312" w:hAnsi="仿宋_GB2312" w:eastAsia="仿宋_GB2312" w:cs="仿宋_GB2312"/>
          <w:sz w:val="30"/>
          <w:szCs w:val="30"/>
        </w:rPr>
        <w:t xml:space="preserve"> 乡镇商贸中心规划</w:t>
      </w:r>
    </w:p>
    <w:p>
      <w:pPr>
        <w:spacing w:line="560" w:lineRule="exact"/>
        <w:ind w:firstLine="600" w:firstLineChars="200"/>
        <w:rPr>
          <w:rFonts w:hint="eastAsia" w:ascii="仿宋_GB2312" w:hAnsi="黑体" w:eastAsia="仿宋_GB2312"/>
          <w:sz w:val="30"/>
          <w:szCs w:val="30"/>
        </w:rPr>
      </w:pPr>
      <w:r>
        <w:rPr>
          <w:rFonts w:hint="eastAsia" w:ascii="仿宋_GB2312" w:hAnsi="黑体" w:eastAsia="仿宋_GB2312"/>
          <w:sz w:val="30"/>
          <w:szCs w:val="30"/>
        </w:rPr>
        <w:t>根据潞州区国土空间总体规划，于马厂镇、黄碾镇、西白兔镇镇驻地，结合商业发展现状，建设3处可满足片区居民日常购物、生活服务、餐饮休闲等功能的现代化乡镇商贸中心。</w:t>
      </w:r>
    </w:p>
    <w:p>
      <w:pPr>
        <w:spacing w:line="560" w:lineRule="exact"/>
        <w:jc w:val="center"/>
        <w:rPr>
          <w:rFonts w:hint="eastAsia" w:ascii="楷体" w:hAnsi="楷体" w:eastAsia="楷体" w:cs="仿宋_GB2312"/>
          <w:sz w:val="24"/>
          <w:szCs w:val="24"/>
        </w:rPr>
      </w:pPr>
      <w:r>
        <w:rPr>
          <w:rFonts w:hint="eastAsia" w:ascii="楷体" w:hAnsi="楷体" w:eastAsia="楷体" w:cs="仿宋_GB2312"/>
          <w:sz w:val="24"/>
          <w:szCs w:val="24"/>
        </w:rPr>
        <w:t>表3-3-3 乡镇商贸中心规划一览表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6"/>
        <w:gridCol w:w="1047"/>
        <w:gridCol w:w="2538"/>
        <w:gridCol w:w="1549"/>
        <w:gridCol w:w="1297"/>
        <w:gridCol w:w="1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14" w:type="pct"/>
            <w:noWrap/>
            <w:vAlign w:val="center"/>
          </w:tcPr>
          <w:p>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序号</w:t>
            </w:r>
          </w:p>
        </w:tc>
        <w:tc>
          <w:tcPr>
            <w:tcW w:w="614" w:type="pct"/>
            <w:noWrap/>
            <w:vAlign w:val="center"/>
          </w:tcPr>
          <w:p>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区属</w:t>
            </w:r>
          </w:p>
        </w:tc>
        <w:tc>
          <w:tcPr>
            <w:tcW w:w="1489" w:type="pct"/>
            <w:noWrap/>
            <w:vAlign w:val="center"/>
          </w:tcPr>
          <w:p>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名称</w:t>
            </w:r>
          </w:p>
        </w:tc>
        <w:tc>
          <w:tcPr>
            <w:tcW w:w="909" w:type="pct"/>
            <w:noWrap/>
            <w:vAlign w:val="center"/>
          </w:tcPr>
          <w:p>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规模（万㎡）</w:t>
            </w:r>
          </w:p>
        </w:tc>
        <w:tc>
          <w:tcPr>
            <w:tcW w:w="761" w:type="pct"/>
            <w:noWrap/>
            <w:vAlign w:val="center"/>
          </w:tcPr>
          <w:p>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规划引导</w:t>
            </w:r>
          </w:p>
        </w:tc>
        <w:tc>
          <w:tcPr>
            <w:tcW w:w="613" w:type="pct"/>
            <w:noWrap/>
            <w:vAlign w:val="center"/>
          </w:tcPr>
          <w:p>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时序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4" w:type="pct"/>
            <w:noWrap/>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w:t>
            </w:r>
          </w:p>
        </w:tc>
        <w:tc>
          <w:tcPr>
            <w:tcW w:w="614" w:type="pct"/>
            <w:noWrap/>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潞州区</w:t>
            </w:r>
          </w:p>
        </w:tc>
        <w:tc>
          <w:tcPr>
            <w:tcW w:w="1489" w:type="pct"/>
            <w:noWrap/>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马厂乡镇商贸中心</w:t>
            </w:r>
          </w:p>
        </w:tc>
        <w:tc>
          <w:tcPr>
            <w:tcW w:w="909" w:type="pct"/>
            <w:noWrap/>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2—3</w:t>
            </w:r>
          </w:p>
        </w:tc>
        <w:tc>
          <w:tcPr>
            <w:tcW w:w="761" w:type="pct"/>
            <w:noWrap/>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改造升级</w:t>
            </w:r>
          </w:p>
        </w:tc>
        <w:tc>
          <w:tcPr>
            <w:tcW w:w="613" w:type="pct"/>
            <w:noWrap/>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4" w:type="pct"/>
            <w:noWrap/>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w:t>
            </w:r>
          </w:p>
        </w:tc>
        <w:tc>
          <w:tcPr>
            <w:tcW w:w="614" w:type="pct"/>
            <w:noWrap/>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潞州区</w:t>
            </w:r>
          </w:p>
        </w:tc>
        <w:tc>
          <w:tcPr>
            <w:tcW w:w="1489" w:type="pct"/>
            <w:noWrap/>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黄碾乡镇商贸中心</w:t>
            </w:r>
          </w:p>
        </w:tc>
        <w:tc>
          <w:tcPr>
            <w:tcW w:w="909" w:type="pct"/>
            <w:noWrap/>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1—2</w:t>
            </w:r>
          </w:p>
        </w:tc>
        <w:tc>
          <w:tcPr>
            <w:tcW w:w="761" w:type="pct"/>
            <w:noWrap/>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改造升级</w:t>
            </w:r>
          </w:p>
        </w:tc>
        <w:tc>
          <w:tcPr>
            <w:tcW w:w="613" w:type="pct"/>
            <w:noWrap/>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4" w:type="pct"/>
            <w:noWrap/>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3</w:t>
            </w:r>
          </w:p>
        </w:tc>
        <w:tc>
          <w:tcPr>
            <w:tcW w:w="614" w:type="pct"/>
            <w:noWrap/>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潞州区</w:t>
            </w:r>
          </w:p>
        </w:tc>
        <w:tc>
          <w:tcPr>
            <w:tcW w:w="1489" w:type="pct"/>
            <w:noWrap/>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西白兔乡镇商贸中心</w:t>
            </w:r>
          </w:p>
        </w:tc>
        <w:tc>
          <w:tcPr>
            <w:tcW w:w="909" w:type="pct"/>
            <w:noWrap/>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0.5-1</w:t>
            </w:r>
          </w:p>
        </w:tc>
        <w:tc>
          <w:tcPr>
            <w:tcW w:w="761" w:type="pct"/>
            <w:noWrap/>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改造升级</w:t>
            </w:r>
          </w:p>
        </w:tc>
        <w:tc>
          <w:tcPr>
            <w:tcW w:w="613" w:type="pct"/>
            <w:noWrap/>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近期</w:t>
            </w:r>
          </w:p>
        </w:tc>
      </w:tr>
    </w:tbl>
    <w:p>
      <w:pPr>
        <w:spacing w:line="560" w:lineRule="exact"/>
        <w:ind w:firstLine="602" w:firstLineChars="200"/>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第二十三条</w:t>
      </w:r>
      <w:r>
        <w:rPr>
          <w:rFonts w:hint="eastAsia" w:ascii="仿宋_GB2312" w:hAnsi="仿宋_GB2312" w:eastAsia="仿宋_GB2312" w:cs="仿宋_GB2312"/>
          <w:sz w:val="30"/>
          <w:szCs w:val="30"/>
        </w:rPr>
        <w:t xml:space="preserve"> 社区商业业态配置引导</w:t>
      </w:r>
    </w:p>
    <w:p>
      <w:pPr>
        <w:spacing w:line="560" w:lineRule="exact"/>
        <w:ind w:firstLine="600" w:firstLineChars="200"/>
        <w:rPr>
          <w:rFonts w:hint="eastAsia" w:ascii="仿宋_GB2312" w:hAnsi="仿宋_GB2312" w:eastAsia="仿宋_GB2312" w:cs="仿宋_GB2312"/>
          <w:sz w:val="30"/>
          <w:szCs w:val="30"/>
        </w:rPr>
      </w:pPr>
      <w:r>
        <w:rPr>
          <w:rFonts w:ascii="仿宋_GB2312" w:hAnsi="仿宋_GB2312" w:eastAsia="仿宋_GB2312" w:cs="仿宋_GB2312"/>
          <w:sz w:val="30"/>
          <w:szCs w:val="30"/>
        </w:rPr>
        <w:t>1</w:t>
      </w:r>
      <w:r>
        <w:rPr>
          <w:rFonts w:hint="eastAsia" w:ascii="仿宋_GB2312" w:hAnsi="仿宋_GB2312" w:eastAsia="仿宋_GB2312" w:cs="仿宋_GB2312"/>
          <w:sz w:val="30"/>
          <w:szCs w:val="30"/>
        </w:rPr>
        <w:t>.标准化菜市场</w:t>
      </w:r>
    </w:p>
    <w:p>
      <w:pPr>
        <w:spacing w:line="560" w:lineRule="exact"/>
        <w:ind w:firstLine="600" w:firstLineChars="200"/>
        <w:rPr>
          <w:rFonts w:ascii="Times New Roman" w:hAnsi="Times New Roman" w:eastAsia="仿宋_GB2312"/>
          <w:color w:val="000000" w:themeColor="text1"/>
          <w:sz w:val="30"/>
          <w:szCs w:val="30"/>
          <w14:textFill>
            <w14:solidFill>
              <w14:schemeClr w14:val="tx1"/>
            </w14:solidFill>
          </w14:textFill>
        </w:rPr>
      </w:pPr>
      <w:r>
        <w:rPr>
          <w:rFonts w:hint="eastAsia" w:ascii="Times New Roman" w:hAnsi="Times New Roman" w:eastAsia="仿宋_GB2312"/>
          <w:color w:val="000000" w:themeColor="text1"/>
          <w:sz w:val="30"/>
          <w:szCs w:val="30"/>
          <w14:textFill>
            <w14:solidFill>
              <w14:schemeClr w14:val="tx1"/>
            </w14:solidFill>
          </w14:textFill>
        </w:rPr>
        <w:t>以环境整洁化、布局合理化、价格大众化、商品品牌化、量器具统一化、设施人性化、消费安全化等要求对现有农贸市场进行标准化改造。根据用地条件不同，可采用与公共服务建筑连体设置。对现有的占道马路市场应逐步拆除，不允许再新建占道市场。大棚市场可根据菜市场布局具体情况进行扩建、改建或搬迁地址新建，改善其自身设施条件，完善其配套设施，提高服务档次，向标准化菜市场方向改建。</w:t>
      </w:r>
    </w:p>
    <w:p>
      <w:pPr>
        <w:spacing w:line="560" w:lineRule="exact"/>
        <w:ind w:firstLine="600" w:firstLineChars="200"/>
        <w:rPr>
          <w:rFonts w:ascii="Times New Roman" w:hAnsi="Times New Roman" w:eastAsia="仿宋_GB2312"/>
          <w:color w:val="000000" w:themeColor="text1"/>
          <w:sz w:val="30"/>
          <w:szCs w:val="30"/>
          <w14:textFill>
            <w14:solidFill>
              <w14:schemeClr w14:val="tx1"/>
            </w14:solidFill>
          </w14:textFill>
        </w:rPr>
      </w:pPr>
      <w:r>
        <w:rPr>
          <w:rFonts w:hint="eastAsia" w:ascii="Times New Roman" w:hAnsi="Times New Roman" w:eastAsia="仿宋_GB2312"/>
          <w:color w:val="000000" w:themeColor="text1"/>
          <w:sz w:val="30"/>
          <w:szCs w:val="30"/>
          <w14:textFill>
            <w14:solidFill>
              <w14:schemeClr w14:val="tx1"/>
            </w14:solidFill>
          </w14:textFill>
        </w:rPr>
        <w:t>新建标准化菜市场，不宜与住宅建筑连体设置；严禁占用城市道路或其他用地建设菜市场。新建菜市场在层数、高度、造型、色彩以及与其他用地、建筑的关系上，须符合城市规划要求，营业面积应不低于</w:t>
      </w:r>
      <w:r>
        <w:rPr>
          <w:rFonts w:ascii="Times New Roman" w:hAnsi="Times New Roman" w:eastAsia="仿宋_GB2312"/>
          <w:color w:val="000000" w:themeColor="text1"/>
          <w:sz w:val="30"/>
          <w:szCs w:val="30"/>
          <w14:textFill>
            <w14:solidFill>
              <w14:schemeClr w14:val="tx1"/>
            </w14:solidFill>
          </w14:textFill>
        </w:rPr>
        <w:t>12</w:t>
      </w:r>
      <w:r>
        <w:rPr>
          <w:rFonts w:hint="eastAsia" w:ascii="Times New Roman" w:hAnsi="Times New Roman" w:eastAsia="仿宋_GB2312"/>
          <w:color w:val="000000" w:themeColor="text1"/>
          <w:sz w:val="30"/>
          <w:szCs w:val="30"/>
          <w14:textFill>
            <w14:solidFill>
              <w14:schemeClr w14:val="tx1"/>
            </w14:solidFill>
          </w14:textFill>
        </w:rPr>
        <w:t>00平方米。</w:t>
      </w:r>
    </w:p>
    <w:p>
      <w:pPr>
        <w:spacing w:line="560" w:lineRule="exact"/>
        <w:ind w:firstLine="600" w:firstLineChars="200"/>
        <w:rPr>
          <w:rFonts w:ascii="Times New Roman" w:hAnsi="Times New Roman" w:eastAsia="仿宋_GB2312"/>
          <w:color w:val="000000" w:themeColor="text1"/>
          <w:sz w:val="30"/>
          <w:szCs w:val="30"/>
          <w14:textFill>
            <w14:solidFill>
              <w14:schemeClr w14:val="tx1"/>
            </w14:solidFill>
          </w14:textFill>
        </w:rPr>
      </w:pPr>
      <w:r>
        <w:rPr>
          <w:rFonts w:hint="eastAsia" w:ascii="Times New Roman" w:hAnsi="Times New Roman" w:eastAsia="仿宋_GB2312"/>
          <w:color w:val="000000" w:themeColor="text1"/>
          <w:sz w:val="30"/>
          <w:szCs w:val="30"/>
          <w14:textFill>
            <w14:solidFill>
              <w14:schemeClr w14:val="tx1"/>
            </w14:solidFill>
          </w14:textFill>
        </w:rPr>
        <w:t>制定完善的菜市场蔬果农残快检管理制度，保障食品安全，菜市场须设立检测点，并配备齐全快检设备及专业检测人员，定期对市场内所有的蔬果进行抽样检测，检测结果要及时记录、建立档案。</w:t>
      </w:r>
    </w:p>
    <w:p>
      <w:pPr>
        <w:spacing w:line="560" w:lineRule="exact"/>
        <w:ind w:firstLine="600" w:firstLineChars="200"/>
        <w:rPr>
          <w:rFonts w:hint="eastAsia" w:ascii="仿宋_GB2312" w:hAnsi="仿宋_GB2312" w:eastAsia="仿宋_GB2312" w:cs="仿宋_GB2312"/>
          <w:sz w:val="30"/>
          <w:szCs w:val="30"/>
        </w:rPr>
      </w:pPr>
      <w:r>
        <w:rPr>
          <w:rFonts w:ascii="仿宋_GB2312" w:hAnsi="仿宋_GB2312" w:eastAsia="仿宋_GB2312" w:cs="仿宋_GB2312"/>
          <w:sz w:val="30"/>
          <w:szCs w:val="30"/>
        </w:rPr>
        <w:t>2</w:t>
      </w:r>
      <w:r>
        <w:rPr>
          <w:rFonts w:hint="eastAsia" w:ascii="仿宋_GB2312" w:hAnsi="仿宋_GB2312" w:eastAsia="仿宋_GB2312" w:cs="仿宋_GB2312"/>
          <w:sz w:val="30"/>
          <w:szCs w:val="30"/>
        </w:rPr>
        <w:t>.便利店</w:t>
      </w:r>
    </w:p>
    <w:p>
      <w:pPr>
        <w:spacing w:line="560" w:lineRule="exact"/>
        <w:ind w:firstLine="600" w:firstLineChars="200"/>
        <w:rPr>
          <w:rFonts w:ascii="Times New Roman" w:hAnsi="Times New Roman" w:eastAsia="仿宋_GB2312"/>
          <w:color w:val="000000" w:themeColor="text1"/>
          <w:sz w:val="30"/>
          <w:szCs w:val="30"/>
          <w14:textFill>
            <w14:solidFill>
              <w14:schemeClr w14:val="tx1"/>
            </w14:solidFill>
          </w14:textFill>
        </w:rPr>
      </w:pPr>
      <w:r>
        <w:rPr>
          <w:rFonts w:hint="eastAsia" w:ascii="Times New Roman" w:hAnsi="Times New Roman" w:eastAsia="仿宋_GB2312"/>
          <w:color w:val="000000" w:themeColor="text1"/>
          <w:sz w:val="30"/>
          <w:szCs w:val="30"/>
          <w14:textFill>
            <w14:solidFill>
              <w14:schemeClr w14:val="tx1"/>
            </w14:solidFill>
          </w14:textFill>
        </w:rPr>
        <w:t>便利店是大型商超发展相对成熟后，从中分化出来的一种零售业态，具有单体占地面积小、布局密度大、距离用户最近、高频消费、对于电商抗击力强等特点。主要经营食品饮料、调味品、日用生活用品等即时消费商品。</w:t>
      </w:r>
    </w:p>
    <w:p>
      <w:pPr>
        <w:spacing w:line="560" w:lineRule="exact"/>
        <w:ind w:firstLine="600" w:firstLineChars="200"/>
        <w:rPr>
          <w:rFonts w:ascii="Times New Roman" w:hAnsi="Times New Roman" w:eastAsia="仿宋_GB2312"/>
          <w:color w:val="000000" w:themeColor="text1"/>
          <w:sz w:val="30"/>
          <w:szCs w:val="30"/>
          <w14:textFill>
            <w14:solidFill>
              <w14:schemeClr w14:val="tx1"/>
            </w14:solidFill>
          </w14:textFill>
        </w:rPr>
      </w:pPr>
      <w:r>
        <w:rPr>
          <w:rFonts w:hint="eastAsia" w:ascii="Times New Roman" w:hAnsi="Times New Roman" w:eastAsia="仿宋_GB2312"/>
          <w:color w:val="000000" w:themeColor="text1"/>
          <w:sz w:val="30"/>
          <w:szCs w:val="30"/>
          <w14:textFill>
            <w14:solidFill>
              <w14:schemeClr w14:val="tx1"/>
            </w14:solidFill>
          </w14:textFill>
        </w:rPr>
        <w:t>结合现状便利店的空间分布情况和社区商业中心规划，规划期内按照200-300米的服务半径设置便利店。便利店营业面积宜在</w:t>
      </w:r>
      <w:r>
        <w:rPr>
          <w:rFonts w:ascii="Times New Roman" w:hAnsi="Times New Roman" w:eastAsia="仿宋_GB2312"/>
          <w:color w:val="000000" w:themeColor="text1"/>
          <w:sz w:val="30"/>
          <w:szCs w:val="30"/>
          <w14:textFill>
            <w14:solidFill>
              <w14:schemeClr w14:val="tx1"/>
            </w14:solidFill>
          </w14:textFill>
        </w:rPr>
        <w:t>50-150</w:t>
      </w:r>
      <w:r>
        <w:rPr>
          <w:rFonts w:hint="eastAsia" w:ascii="Times New Roman" w:hAnsi="Times New Roman" w:eastAsia="仿宋_GB2312"/>
          <w:color w:val="000000" w:themeColor="text1"/>
          <w:sz w:val="30"/>
          <w:szCs w:val="30"/>
          <w14:textFill>
            <w14:solidFill>
              <w14:schemeClr w14:val="tx1"/>
            </w14:solidFill>
          </w14:textFill>
        </w:rPr>
        <w:t>平方米，主要经营食品饮料、调味品、日用生活用品等即时消费商品。</w:t>
      </w:r>
    </w:p>
    <w:p>
      <w:pPr>
        <w:spacing w:line="560" w:lineRule="exact"/>
        <w:ind w:firstLine="600" w:firstLineChars="200"/>
        <w:rPr>
          <w:rFonts w:hint="eastAsia" w:ascii="仿宋_GB2312" w:hAnsi="仿宋_GB2312" w:eastAsia="仿宋_GB2312" w:cs="仿宋_GB2312"/>
          <w:sz w:val="30"/>
          <w:szCs w:val="30"/>
        </w:rPr>
      </w:pPr>
      <w:r>
        <w:rPr>
          <w:rFonts w:ascii="仿宋_GB2312" w:hAnsi="仿宋_GB2312" w:eastAsia="仿宋_GB2312" w:cs="仿宋_GB2312"/>
          <w:sz w:val="30"/>
          <w:szCs w:val="30"/>
        </w:rPr>
        <w:t>3</w:t>
      </w:r>
      <w:r>
        <w:rPr>
          <w:rFonts w:hint="eastAsia" w:ascii="仿宋_GB2312" w:hAnsi="仿宋_GB2312" w:eastAsia="仿宋_GB2312" w:cs="仿宋_GB2312"/>
          <w:sz w:val="30"/>
          <w:szCs w:val="30"/>
        </w:rPr>
        <w:t>.药店</w:t>
      </w:r>
    </w:p>
    <w:p>
      <w:pPr>
        <w:spacing w:line="560" w:lineRule="exact"/>
        <w:ind w:firstLine="600" w:firstLineChars="200"/>
        <w:rPr>
          <w:rFonts w:ascii="Times New Roman" w:hAnsi="Times New Roman" w:eastAsia="仿宋_GB2312"/>
          <w:color w:val="000000" w:themeColor="text1"/>
          <w:sz w:val="30"/>
          <w:szCs w:val="30"/>
          <w14:textFill>
            <w14:solidFill>
              <w14:schemeClr w14:val="tx1"/>
            </w14:solidFill>
          </w14:textFill>
        </w:rPr>
      </w:pPr>
      <w:r>
        <w:rPr>
          <w:rFonts w:hint="eastAsia" w:ascii="Times New Roman" w:hAnsi="Times New Roman" w:eastAsia="仿宋_GB2312"/>
          <w:color w:val="000000" w:themeColor="text1"/>
          <w:sz w:val="30"/>
          <w:szCs w:val="30"/>
          <w14:textFill>
            <w14:solidFill>
              <w14:schemeClr w14:val="tx1"/>
            </w14:solidFill>
          </w14:textFill>
        </w:rPr>
        <w:t>按照</w:t>
      </w:r>
      <w:r>
        <w:rPr>
          <w:rFonts w:ascii="Times New Roman" w:hAnsi="Times New Roman" w:eastAsia="仿宋_GB2312"/>
          <w:color w:val="000000" w:themeColor="text1"/>
          <w:sz w:val="30"/>
          <w:szCs w:val="30"/>
          <w14:textFill>
            <w14:solidFill>
              <w14:schemeClr w14:val="tx1"/>
            </w14:solidFill>
          </w14:textFill>
        </w:rPr>
        <w:t>300-500</w:t>
      </w:r>
      <w:r>
        <w:rPr>
          <w:rFonts w:hint="eastAsia" w:ascii="Times New Roman" w:hAnsi="Times New Roman" w:eastAsia="仿宋_GB2312"/>
          <w:color w:val="000000" w:themeColor="text1"/>
          <w:sz w:val="30"/>
          <w:szCs w:val="30"/>
          <w14:textFill>
            <w14:solidFill>
              <w14:schemeClr w14:val="tx1"/>
            </w14:solidFill>
          </w14:textFill>
        </w:rPr>
        <w:t>米的服务半径设置药店，营业面积</w:t>
      </w:r>
      <w:r>
        <w:rPr>
          <w:rFonts w:ascii="Times New Roman" w:hAnsi="Times New Roman" w:eastAsia="仿宋_GB2312"/>
          <w:color w:val="000000" w:themeColor="text1"/>
          <w:sz w:val="30"/>
          <w:szCs w:val="30"/>
          <w14:textFill>
            <w14:solidFill>
              <w14:schemeClr w14:val="tx1"/>
            </w14:solidFill>
          </w14:textFill>
        </w:rPr>
        <w:t>50</w:t>
      </w:r>
      <w:r>
        <w:rPr>
          <w:rFonts w:hint="eastAsia" w:ascii="Times New Roman" w:hAnsi="Times New Roman" w:eastAsia="仿宋_GB2312"/>
          <w:color w:val="000000" w:themeColor="text1"/>
          <w:sz w:val="30"/>
          <w:szCs w:val="30"/>
          <w14:textFill>
            <w14:solidFill>
              <w14:schemeClr w14:val="tx1"/>
            </w14:solidFill>
          </w14:textFill>
        </w:rPr>
        <w:t>平方米以上，经营品种包括</w:t>
      </w:r>
      <w:r>
        <w:rPr>
          <w:rFonts w:ascii="Times New Roman" w:hAnsi="Times New Roman" w:eastAsia="仿宋_GB2312"/>
          <w:color w:val="000000" w:themeColor="text1"/>
          <w:sz w:val="30"/>
          <w:szCs w:val="30"/>
          <w14:textFill>
            <w14:solidFill>
              <w14:schemeClr w14:val="tx1"/>
            </w14:solidFill>
          </w14:textFill>
        </w:rPr>
        <w:t>70%</w:t>
      </w:r>
      <w:r>
        <w:rPr>
          <w:rFonts w:hint="eastAsia" w:ascii="Times New Roman" w:hAnsi="Times New Roman" w:eastAsia="仿宋_GB2312"/>
          <w:color w:val="000000" w:themeColor="text1"/>
          <w:sz w:val="30"/>
          <w:szCs w:val="30"/>
          <w14:textFill>
            <w14:solidFill>
              <w14:schemeClr w14:val="tx1"/>
            </w14:solidFill>
          </w14:textFill>
        </w:rPr>
        <w:t>以上的国家基本药物品种。</w:t>
      </w:r>
    </w:p>
    <w:p>
      <w:pPr>
        <w:spacing w:line="560" w:lineRule="exact"/>
        <w:ind w:firstLine="600" w:firstLineChars="200"/>
        <w:rPr>
          <w:rFonts w:hint="eastAsia" w:ascii="仿宋_GB2312" w:hAnsi="仿宋_GB2312" w:eastAsia="仿宋_GB2312" w:cs="仿宋_GB2312"/>
          <w:sz w:val="30"/>
          <w:szCs w:val="30"/>
        </w:rPr>
      </w:pPr>
      <w:r>
        <w:rPr>
          <w:rFonts w:ascii="仿宋_GB2312" w:hAnsi="仿宋_GB2312" w:eastAsia="仿宋_GB2312" w:cs="仿宋_GB2312"/>
          <w:sz w:val="30"/>
          <w:szCs w:val="30"/>
        </w:rPr>
        <w:t>4</w:t>
      </w:r>
      <w:r>
        <w:rPr>
          <w:rFonts w:hint="eastAsia" w:ascii="仿宋_GB2312" w:hAnsi="仿宋_GB2312" w:eastAsia="仿宋_GB2312" w:cs="仿宋_GB2312"/>
          <w:sz w:val="30"/>
          <w:szCs w:val="30"/>
        </w:rPr>
        <w:t>.餐饮店</w:t>
      </w:r>
    </w:p>
    <w:p>
      <w:pPr>
        <w:spacing w:line="560" w:lineRule="exact"/>
        <w:ind w:firstLine="600" w:firstLineChars="200"/>
        <w:rPr>
          <w:rFonts w:ascii="Times New Roman" w:hAnsi="Times New Roman" w:eastAsia="仿宋_GB2312"/>
          <w:color w:val="000000" w:themeColor="text1"/>
          <w:sz w:val="30"/>
          <w:szCs w:val="30"/>
          <w14:textFill>
            <w14:solidFill>
              <w14:schemeClr w14:val="tx1"/>
            </w14:solidFill>
          </w14:textFill>
        </w:rPr>
      </w:pPr>
      <w:r>
        <w:rPr>
          <w:rFonts w:hint="eastAsia" w:ascii="Times New Roman" w:hAnsi="Times New Roman" w:eastAsia="仿宋_GB2312"/>
          <w:color w:val="000000" w:themeColor="text1"/>
          <w:sz w:val="30"/>
          <w:szCs w:val="30"/>
          <w14:textFill>
            <w14:solidFill>
              <w14:schemeClr w14:val="tx1"/>
            </w14:solidFill>
          </w14:textFill>
        </w:rPr>
        <w:t>餐饮店单店面积宜在</w:t>
      </w:r>
      <w:r>
        <w:rPr>
          <w:rFonts w:ascii="Times New Roman" w:hAnsi="Times New Roman" w:eastAsia="仿宋_GB2312"/>
          <w:color w:val="000000" w:themeColor="text1"/>
          <w:sz w:val="30"/>
          <w:szCs w:val="30"/>
          <w14:textFill>
            <w14:solidFill>
              <w14:schemeClr w14:val="tx1"/>
            </w14:solidFill>
          </w14:textFill>
        </w:rPr>
        <w:t>80</w:t>
      </w:r>
      <w:r>
        <w:rPr>
          <w:rFonts w:hint="eastAsia" w:ascii="Times New Roman" w:hAnsi="Times New Roman" w:eastAsia="仿宋_GB2312"/>
          <w:color w:val="000000" w:themeColor="text1"/>
          <w:sz w:val="30"/>
          <w:szCs w:val="30"/>
          <w14:textFill>
            <w14:solidFill>
              <w14:schemeClr w14:val="tx1"/>
            </w14:solidFill>
          </w14:textFill>
        </w:rPr>
        <w:t>平方米以上，新建社区宜有单店面积在</w:t>
      </w:r>
      <w:r>
        <w:rPr>
          <w:rFonts w:ascii="Times New Roman" w:hAnsi="Times New Roman" w:eastAsia="仿宋_GB2312"/>
          <w:color w:val="000000" w:themeColor="text1"/>
          <w:sz w:val="30"/>
          <w:szCs w:val="30"/>
          <w14:textFill>
            <w14:solidFill>
              <w14:schemeClr w14:val="tx1"/>
            </w14:solidFill>
          </w14:textFill>
        </w:rPr>
        <w:t>500</w:t>
      </w:r>
      <w:r>
        <w:rPr>
          <w:rFonts w:hint="eastAsia" w:ascii="Times New Roman" w:hAnsi="Times New Roman" w:eastAsia="仿宋_GB2312"/>
          <w:color w:val="000000" w:themeColor="text1"/>
          <w:sz w:val="30"/>
          <w:szCs w:val="30"/>
          <w14:textFill>
            <w14:solidFill>
              <w14:schemeClr w14:val="tx1"/>
            </w14:solidFill>
          </w14:textFill>
        </w:rPr>
        <w:t>平方米以上的连锁餐饮店，提供早餐服务，居民最远就餐距离在</w:t>
      </w:r>
      <w:r>
        <w:rPr>
          <w:rFonts w:ascii="Times New Roman" w:hAnsi="Times New Roman" w:eastAsia="仿宋_GB2312"/>
          <w:color w:val="000000" w:themeColor="text1"/>
          <w:sz w:val="30"/>
          <w:szCs w:val="30"/>
          <w14:textFill>
            <w14:solidFill>
              <w14:schemeClr w14:val="tx1"/>
            </w14:solidFill>
          </w14:textFill>
        </w:rPr>
        <w:t>800</w:t>
      </w:r>
      <w:r>
        <w:rPr>
          <w:rFonts w:hint="eastAsia" w:ascii="Times New Roman" w:hAnsi="Times New Roman" w:eastAsia="仿宋_GB2312"/>
          <w:color w:val="000000" w:themeColor="text1"/>
          <w:sz w:val="30"/>
          <w:szCs w:val="30"/>
          <w14:textFill>
            <w14:solidFill>
              <w14:schemeClr w14:val="tx1"/>
            </w14:solidFill>
          </w14:textFill>
        </w:rPr>
        <w:t>米以内。</w:t>
      </w:r>
    </w:p>
    <w:p>
      <w:pPr>
        <w:spacing w:line="560" w:lineRule="exact"/>
        <w:ind w:firstLine="600" w:firstLineChars="200"/>
        <w:rPr>
          <w:rFonts w:hint="eastAsia" w:ascii="仿宋_GB2312" w:hAnsi="仿宋_GB2312" w:eastAsia="仿宋_GB2312" w:cs="仿宋_GB2312"/>
          <w:sz w:val="30"/>
          <w:szCs w:val="30"/>
        </w:rPr>
      </w:pPr>
      <w:r>
        <w:rPr>
          <w:rFonts w:ascii="仿宋_GB2312" w:hAnsi="仿宋_GB2312" w:eastAsia="仿宋_GB2312" w:cs="仿宋_GB2312"/>
          <w:sz w:val="30"/>
          <w:szCs w:val="30"/>
        </w:rPr>
        <w:t>5</w:t>
      </w:r>
      <w:r>
        <w:rPr>
          <w:rFonts w:hint="eastAsia" w:ascii="仿宋_GB2312" w:hAnsi="仿宋_GB2312" w:eastAsia="仿宋_GB2312" w:cs="仿宋_GB2312"/>
          <w:sz w:val="30"/>
          <w:szCs w:val="30"/>
        </w:rPr>
        <w:t>.美容美发店</w:t>
      </w:r>
    </w:p>
    <w:p>
      <w:pPr>
        <w:spacing w:line="560" w:lineRule="exact"/>
        <w:ind w:firstLine="600" w:firstLineChars="200"/>
        <w:rPr>
          <w:rFonts w:ascii="Times New Roman" w:hAnsi="Times New Roman" w:eastAsia="仿宋_GB2312"/>
          <w:color w:val="000000" w:themeColor="text1"/>
          <w:sz w:val="30"/>
          <w:szCs w:val="30"/>
          <w14:textFill>
            <w14:solidFill>
              <w14:schemeClr w14:val="tx1"/>
            </w14:solidFill>
          </w14:textFill>
        </w:rPr>
      </w:pPr>
      <w:r>
        <w:rPr>
          <w:rFonts w:hint="eastAsia" w:ascii="Times New Roman" w:hAnsi="Times New Roman" w:eastAsia="仿宋_GB2312"/>
          <w:color w:val="000000" w:themeColor="text1"/>
          <w:sz w:val="30"/>
          <w:szCs w:val="30"/>
          <w14:textFill>
            <w14:solidFill>
              <w14:schemeClr w14:val="tx1"/>
            </w14:solidFill>
          </w14:textFill>
        </w:rPr>
        <w:t>美容美发店在社区中商业设施相对较为集中的区域设置，营业面积</w:t>
      </w:r>
      <w:r>
        <w:rPr>
          <w:rFonts w:ascii="Times New Roman" w:hAnsi="Times New Roman" w:eastAsia="仿宋_GB2312"/>
          <w:color w:val="000000" w:themeColor="text1"/>
          <w:sz w:val="30"/>
          <w:szCs w:val="30"/>
          <w14:textFill>
            <w14:solidFill>
              <w14:schemeClr w14:val="tx1"/>
            </w14:solidFill>
          </w14:textFill>
        </w:rPr>
        <w:t>30</w:t>
      </w:r>
      <w:r>
        <w:rPr>
          <w:rFonts w:hint="eastAsia" w:ascii="Times New Roman" w:hAnsi="Times New Roman" w:eastAsia="仿宋_GB2312"/>
          <w:color w:val="000000" w:themeColor="text1"/>
          <w:sz w:val="30"/>
          <w:szCs w:val="30"/>
          <w14:textFill>
            <w14:solidFill>
              <w14:schemeClr w14:val="tx1"/>
            </w14:solidFill>
          </w14:textFill>
        </w:rPr>
        <w:t>平方米以上，能提供美容美发及相关服务，并能为老年人、儿童及病残人等提供上门服务。</w:t>
      </w:r>
    </w:p>
    <w:p>
      <w:pPr>
        <w:spacing w:line="560" w:lineRule="exact"/>
        <w:ind w:firstLine="600" w:firstLineChars="200"/>
        <w:rPr>
          <w:rFonts w:hint="eastAsia" w:ascii="仿宋_GB2312" w:hAnsi="仿宋_GB2312" w:eastAsia="仿宋_GB2312" w:cs="仿宋_GB2312"/>
          <w:sz w:val="30"/>
          <w:szCs w:val="30"/>
        </w:rPr>
      </w:pPr>
      <w:r>
        <w:rPr>
          <w:rFonts w:ascii="仿宋_GB2312" w:hAnsi="仿宋_GB2312" w:eastAsia="仿宋_GB2312" w:cs="仿宋_GB2312"/>
          <w:sz w:val="30"/>
          <w:szCs w:val="30"/>
        </w:rPr>
        <w:t>6</w:t>
      </w:r>
      <w:r>
        <w:rPr>
          <w:rFonts w:hint="eastAsia" w:ascii="仿宋_GB2312" w:hAnsi="仿宋_GB2312" w:eastAsia="仿宋_GB2312" w:cs="仿宋_GB2312"/>
          <w:sz w:val="30"/>
          <w:szCs w:val="30"/>
        </w:rPr>
        <w:t>.洗衣店</w:t>
      </w:r>
    </w:p>
    <w:p>
      <w:pPr>
        <w:spacing w:line="560" w:lineRule="exact"/>
        <w:ind w:firstLine="600" w:firstLineChars="200"/>
        <w:rPr>
          <w:rFonts w:ascii="Times New Roman" w:hAnsi="Times New Roman" w:eastAsia="仿宋_GB2312"/>
          <w:color w:val="000000" w:themeColor="text1"/>
          <w:sz w:val="30"/>
          <w:szCs w:val="30"/>
          <w14:textFill>
            <w14:solidFill>
              <w14:schemeClr w14:val="tx1"/>
            </w14:solidFill>
          </w14:textFill>
        </w:rPr>
      </w:pPr>
      <w:r>
        <w:rPr>
          <w:rFonts w:hint="eastAsia" w:ascii="Times New Roman" w:hAnsi="Times New Roman" w:eastAsia="仿宋_GB2312"/>
          <w:color w:val="000000" w:themeColor="text1"/>
          <w:sz w:val="30"/>
          <w:szCs w:val="30"/>
          <w14:textFill>
            <w14:solidFill>
              <w14:schemeClr w14:val="tx1"/>
            </w14:solidFill>
          </w14:textFill>
        </w:rPr>
        <w:t>按照</w:t>
      </w:r>
      <w:r>
        <w:rPr>
          <w:rFonts w:ascii="Times New Roman" w:hAnsi="Times New Roman" w:eastAsia="仿宋_GB2312"/>
          <w:color w:val="000000" w:themeColor="text1"/>
          <w:sz w:val="30"/>
          <w:szCs w:val="30"/>
          <w14:textFill>
            <w14:solidFill>
              <w14:schemeClr w14:val="tx1"/>
            </w14:solidFill>
          </w14:textFill>
        </w:rPr>
        <w:t>300-500</w:t>
      </w:r>
      <w:r>
        <w:rPr>
          <w:rFonts w:hint="eastAsia" w:ascii="Times New Roman" w:hAnsi="Times New Roman" w:eastAsia="仿宋_GB2312"/>
          <w:color w:val="000000" w:themeColor="text1"/>
          <w:sz w:val="30"/>
          <w:szCs w:val="30"/>
          <w14:textFill>
            <w14:solidFill>
              <w14:schemeClr w14:val="tx1"/>
            </w14:solidFill>
          </w14:textFill>
        </w:rPr>
        <w:t>米的服务半径设置洗衣店，营业面积</w:t>
      </w:r>
      <w:r>
        <w:rPr>
          <w:rFonts w:ascii="Times New Roman" w:hAnsi="Times New Roman" w:eastAsia="仿宋_GB2312"/>
          <w:color w:val="000000" w:themeColor="text1"/>
          <w:sz w:val="30"/>
          <w:szCs w:val="30"/>
          <w14:textFill>
            <w14:solidFill>
              <w14:schemeClr w14:val="tx1"/>
            </w14:solidFill>
          </w14:textFill>
        </w:rPr>
        <w:t>50</w:t>
      </w:r>
      <w:r>
        <w:rPr>
          <w:rFonts w:hint="eastAsia" w:ascii="Times New Roman" w:hAnsi="Times New Roman" w:eastAsia="仿宋_GB2312"/>
          <w:color w:val="000000" w:themeColor="text1"/>
          <w:sz w:val="30"/>
          <w:szCs w:val="30"/>
          <w14:textFill>
            <w14:solidFill>
              <w14:schemeClr w14:val="tx1"/>
            </w14:solidFill>
          </w14:textFill>
        </w:rPr>
        <w:t>平方米以上，能提供洗衣、熨烫和皮革衣物的清洗、上光等服务。</w:t>
      </w:r>
    </w:p>
    <w:p>
      <w:pPr>
        <w:spacing w:line="560" w:lineRule="exact"/>
        <w:ind w:firstLine="600" w:firstLineChars="200"/>
        <w:rPr>
          <w:rFonts w:hint="eastAsia" w:ascii="仿宋_GB2312" w:hAnsi="仿宋_GB2312" w:eastAsia="仿宋_GB2312" w:cs="仿宋_GB2312"/>
          <w:sz w:val="30"/>
          <w:szCs w:val="30"/>
        </w:rPr>
      </w:pPr>
      <w:r>
        <w:rPr>
          <w:rFonts w:ascii="仿宋_GB2312" w:hAnsi="仿宋_GB2312" w:eastAsia="仿宋_GB2312" w:cs="仿宋_GB2312"/>
          <w:sz w:val="30"/>
          <w:szCs w:val="30"/>
        </w:rPr>
        <w:t>7</w:t>
      </w:r>
      <w:r>
        <w:rPr>
          <w:rFonts w:hint="eastAsia" w:ascii="仿宋_GB2312" w:hAnsi="仿宋_GB2312" w:eastAsia="仿宋_GB2312" w:cs="仿宋_GB2312"/>
          <w:sz w:val="30"/>
          <w:szCs w:val="30"/>
        </w:rPr>
        <w:t>.社区维修店</w:t>
      </w:r>
    </w:p>
    <w:p>
      <w:pPr>
        <w:spacing w:line="560" w:lineRule="exact"/>
        <w:ind w:firstLine="600" w:firstLineChars="200"/>
        <w:rPr>
          <w:rFonts w:ascii="Times New Roman" w:hAnsi="Times New Roman" w:eastAsia="仿宋_GB2312"/>
          <w:color w:val="000000" w:themeColor="text1"/>
          <w:sz w:val="30"/>
          <w:szCs w:val="30"/>
          <w14:textFill>
            <w14:solidFill>
              <w14:schemeClr w14:val="tx1"/>
            </w14:solidFill>
          </w14:textFill>
        </w:rPr>
      </w:pPr>
      <w:r>
        <w:rPr>
          <w:rFonts w:hint="eastAsia" w:ascii="Times New Roman" w:hAnsi="Times New Roman" w:eastAsia="仿宋_GB2312"/>
          <w:color w:val="000000" w:themeColor="text1"/>
          <w:sz w:val="30"/>
          <w:szCs w:val="30"/>
          <w14:textFill>
            <w14:solidFill>
              <w14:schemeClr w14:val="tx1"/>
            </w14:solidFill>
          </w14:textFill>
        </w:rPr>
        <w:t>社区维修店主要提供自行车修理、汽车维修、修鞋、配钥匙等服务。</w:t>
      </w:r>
    </w:p>
    <w:p>
      <w:pPr>
        <w:spacing w:line="560" w:lineRule="exact"/>
        <w:ind w:firstLine="600" w:firstLineChars="200"/>
        <w:rPr>
          <w:rFonts w:hint="eastAsia" w:ascii="仿宋_GB2312" w:hAnsi="仿宋_GB2312" w:eastAsia="仿宋_GB2312" w:cs="仿宋_GB2312"/>
          <w:sz w:val="30"/>
          <w:szCs w:val="30"/>
        </w:rPr>
      </w:pPr>
      <w:r>
        <w:rPr>
          <w:rFonts w:ascii="仿宋_GB2312" w:hAnsi="仿宋_GB2312" w:eastAsia="仿宋_GB2312" w:cs="仿宋_GB2312"/>
          <w:sz w:val="30"/>
          <w:szCs w:val="30"/>
        </w:rPr>
        <w:t>8</w:t>
      </w:r>
      <w:r>
        <w:rPr>
          <w:rFonts w:hint="eastAsia" w:ascii="仿宋_GB2312" w:hAnsi="仿宋_GB2312" w:eastAsia="仿宋_GB2312" w:cs="仿宋_GB2312"/>
          <w:sz w:val="30"/>
          <w:szCs w:val="30"/>
        </w:rPr>
        <w:t>.家政服务网点</w:t>
      </w:r>
    </w:p>
    <w:p>
      <w:pPr>
        <w:spacing w:line="560" w:lineRule="exact"/>
        <w:ind w:firstLine="600" w:firstLineChars="200"/>
        <w:rPr>
          <w:rFonts w:ascii="Times New Roman" w:hAnsi="Times New Roman" w:eastAsia="仿宋_GB2312"/>
          <w:color w:val="000000" w:themeColor="text1"/>
          <w:sz w:val="30"/>
          <w:szCs w:val="30"/>
          <w14:textFill>
            <w14:solidFill>
              <w14:schemeClr w14:val="tx1"/>
            </w14:solidFill>
          </w14:textFill>
        </w:rPr>
      </w:pPr>
      <w:r>
        <w:rPr>
          <w:rFonts w:hint="eastAsia" w:ascii="Times New Roman" w:hAnsi="Times New Roman" w:eastAsia="仿宋_GB2312"/>
          <w:color w:val="000000" w:themeColor="text1"/>
          <w:sz w:val="30"/>
          <w:szCs w:val="30"/>
          <w14:textFill>
            <w14:solidFill>
              <w14:schemeClr w14:val="tx1"/>
            </w14:solidFill>
          </w14:textFill>
        </w:rPr>
        <w:t>家政服务网点的服务半径</w:t>
      </w:r>
      <w:r>
        <w:rPr>
          <w:rFonts w:ascii="Times New Roman" w:hAnsi="Times New Roman" w:eastAsia="仿宋_GB2312"/>
          <w:color w:val="000000" w:themeColor="text1"/>
          <w:sz w:val="30"/>
          <w:szCs w:val="30"/>
          <w14:textFill>
            <w14:solidFill>
              <w14:schemeClr w14:val="tx1"/>
            </w14:solidFill>
          </w14:textFill>
        </w:rPr>
        <w:t>1000</w:t>
      </w:r>
      <w:r>
        <w:rPr>
          <w:rFonts w:hint="eastAsia" w:ascii="Times New Roman" w:hAnsi="Times New Roman" w:eastAsia="仿宋_GB2312"/>
          <w:color w:val="000000" w:themeColor="text1"/>
          <w:sz w:val="30"/>
          <w:szCs w:val="30"/>
          <w14:textFill>
            <w14:solidFill>
              <w14:schemeClr w14:val="tx1"/>
            </w14:solidFill>
          </w14:textFill>
        </w:rPr>
        <w:t>米左右，提供家庭钟点工、家政服务、家庭护理等服务。</w:t>
      </w:r>
    </w:p>
    <w:p>
      <w:pPr>
        <w:spacing w:line="560" w:lineRule="exact"/>
        <w:ind w:firstLine="600" w:firstLineChars="200"/>
        <w:rPr>
          <w:rFonts w:hint="eastAsia" w:ascii="仿宋_GB2312" w:hAnsi="仿宋_GB2312" w:eastAsia="仿宋_GB2312" w:cs="仿宋_GB2312"/>
          <w:sz w:val="30"/>
          <w:szCs w:val="30"/>
        </w:rPr>
      </w:pPr>
      <w:r>
        <w:rPr>
          <w:rFonts w:ascii="仿宋_GB2312" w:hAnsi="仿宋_GB2312" w:eastAsia="仿宋_GB2312" w:cs="仿宋_GB2312"/>
          <w:sz w:val="30"/>
          <w:szCs w:val="30"/>
        </w:rPr>
        <w:t>9</w:t>
      </w:r>
      <w:r>
        <w:rPr>
          <w:rFonts w:hint="eastAsia" w:ascii="仿宋_GB2312" w:hAnsi="仿宋_GB2312" w:eastAsia="仿宋_GB2312" w:cs="仿宋_GB2312"/>
          <w:sz w:val="30"/>
          <w:szCs w:val="30"/>
        </w:rPr>
        <w:t>.再生资源回收站</w:t>
      </w:r>
    </w:p>
    <w:p>
      <w:pPr>
        <w:spacing w:line="560" w:lineRule="exact"/>
        <w:ind w:firstLine="600" w:firstLineChars="200"/>
        <w:rPr>
          <w:rFonts w:ascii="Times New Roman" w:hAnsi="Times New Roman" w:eastAsia="仿宋_GB2312"/>
          <w:color w:val="000000" w:themeColor="text1"/>
          <w:sz w:val="30"/>
          <w:szCs w:val="30"/>
          <w14:textFill>
            <w14:solidFill>
              <w14:schemeClr w14:val="tx1"/>
            </w14:solidFill>
          </w14:textFill>
        </w:rPr>
      </w:pPr>
      <w:r>
        <w:rPr>
          <w:rFonts w:hint="eastAsia" w:ascii="Times New Roman" w:hAnsi="Times New Roman" w:eastAsia="仿宋_GB2312"/>
          <w:color w:val="000000" w:themeColor="text1"/>
          <w:sz w:val="30"/>
          <w:szCs w:val="30"/>
          <w14:textFill>
            <w14:solidFill>
              <w14:schemeClr w14:val="tx1"/>
            </w14:solidFill>
          </w14:textFill>
        </w:rPr>
        <w:t>与市区再生资源回收体系建设结合，提供居民生活性再生资源的回收服务及上门服务。</w:t>
      </w:r>
    </w:p>
    <w:p>
      <w:pPr>
        <w:spacing w:line="560" w:lineRule="exact"/>
        <w:ind w:firstLine="600" w:firstLineChars="200"/>
        <w:rPr>
          <w:rFonts w:hint="eastAsia" w:ascii="仿宋_GB2312" w:hAnsi="仿宋_GB2312" w:eastAsia="仿宋_GB2312" w:cs="仿宋_GB2312"/>
          <w:sz w:val="30"/>
          <w:szCs w:val="30"/>
        </w:rPr>
      </w:pPr>
      <w:r>
        <w:rPr>
          <w:rFonts w:ascii="仿宋_GB2312" w:hAnsi="仿宋_GB2312" w:eastAsia="仿宋_GB2312" w:cs="仿宋_GB2312"/>
          <w:sz w:val="30"/>
          <w:szCs w:val="30"/>
        </w:rPr>
        <w:t>10</w:t>
      </w:r>
      <w:r>
        <w:rPr>
          <w:rFonts w:hint="eastAsia" w:ascii="仿宋_GB2312" w:hAnsi="仿宋_GB2312" w:eastAsia="仿宋_GB2312" w:cs="仿宋_GB2312"/>
          <w:sz w:val="30"/>
          <w:szCs w:val="30"/>
        </w:rPr>
        <w:t>.金融服务网点</w:t>
      </w:r>
    </w:p>
    <w:p>
      <w:pPr>
        <w:spacing w:line="560" w:lineRule="exact"/>
        <w:ind w:firstLine="600" w:firstLineChars="200"/>
        <w:rPr>
          <w:rFonts w:ascii="Times New Roman" w:hAnsi="Times New Roman" w:eastAsia="仿宋_GB2312"/>
          <w:color w:val="000000" w:themeColor="text1"/>
          <w:sz w:val="30"/>
          <w:szCs w:val="30"/>
          <w14:textFill>
            <w14:solidFill>
              <w14:schemeClr w14:val="tx1"/>
            </w14:solidFill>
          </w14:textFill>
        </w:rPr>
      </w:pPr>
      <w:r>
        <w:rPr>
          <w:rFonts w:hint="eastAsia" w:ascii="Times New Roman" w:hAnsi="Times New Roman" w:eastAsia="仿宋_GB2312"/>
          <w:color w:val="000000" w:themeColor="text1"/>
          <w:sz w:val="30"/>
          <w:szCs w:val="30"/>
          <w14:textFill>
            <w14:solidFill>
              <w14:schemeClr w14:val="tx1"/>
            </w14:solidFill>
          </w14:textFill>
        </w:rPr>
        <w:t>按照</w:t>
      </w:r>
      <w:r>
        <w:rPr>
          <w:rFonts w:ascii="Times New Roman" w:hAnsi="Times New Roman" w:eastAsia="仿宋_GB2312"/>
          <w:color w:val="000000" w:themeColor="text1"/>
          <w:sz w:val="30"/>
          <w:szCs w:val="30"/>
          <w14:textFill>
            <w14:solidFill>
              <w14:schemeClr w14:val="tx1"/>
            </w14:solidFill>
          </w14:textFill>
        </w:rPr>
        <w:t>500-800</w:t>
      </w:r>
      <w:r>
        <w:rPr>
          <w:rFonts w:hint="eastAsia" w:ascii="Times New Roman" w:hAnsi="Times New Roman" w:eastAsia="仿宋_GB2312"/>
          <w:color w:val="000000" w:themeColor="text1"/>
          <w:sz w:val="30"/>
          <w:szCs w:val="30"/>
          <w14:textFill>
            <w14:solidFill>
              <w14:schemeClr w14:val="tx1"/>
            </w14:solidFill>
          </w14:textFill>
        </w:rPr>
        <w:t>米的服务半径设置金融服务网点，每个社区一般配置</w:t>
      </w:r>
      <w:r>
        <w:rPr>
          <w:rFonts w:ascii="Times New Roman" w:hAnsi="Times New Roman" w:eastAsia="仿宋_GB2312"/>
          <w:color w:val="000000" w:themeColor="text1"/>
          <w:sz w:val="30"/>
          <w:szCs w:val="30"/>
          <w14:textFill>
            <w14:solidFill>
              <w14:schemeClr w14:val="tx1"/>
            </w14:solidFill>
          </w14:textFill>
        </w:rPr>
        <w:t>1</w:t>
      </w:r>
      <w:r>
        <w:rPr>
          <w:rFonts w:hint="eastAsia" w:ascii="Times New Roman" w:hAnsi="Times New Roman" w:eastAsia="仿宋_GB2312"/>
          <w:color w:val="000000" w:themeColor="text1"/>
          <w:sz w:val="30"/>
          <w:szCs w:val="30"/>
          <w14:textFill>
            <w14:solidFill>
              <w14:schemeClr w14:val="tx1"/>
            </w14:solidFill>
          </w14:textFill>
        </w:rPr>
        <w:t>处，营业面积</w:t>
      </w:r>
      <w:r>
        <w:rPr>
          <w:rFonts w:ascii="Times New Roman" w:hAnsi="Times New Roman" w:eastAsia="仿宋_GB2312"/>
          <w:color w:val="000000" w:themeColor="text1"/>
          <w:sz w:val="30"/>
          <w:szCs w:val="30"/>
          <w14:textFill>
            <w14:solidFill>
              <w14:schemeClr w14:val="tx1"/>
            </w14:solidFill>
          </w14:textFill>
        </w:rPr>
        <w:t>100</w:t>
      </w:r>
      <w:r>
        <w:rPr>
          <w:rFonts w:hint="eastAsia" w:ascii="Times New Roman" w:hAnsi="Times New Roman" w:eastAsia="仿宋_GB2312"/>
          <w:color w:val="000000" w:themeColor="text1"/>
          <w:sz w:val="30"/>
          <w:szCs w:val="30"/>
          <w14:textFill>
            <w14:solidFill>
              <w14:schemeClr w14:val="tx1"/>
            </w14:solidFill>
          </w14:textFill>
        </w:rPr>
        <w:t>平方米以上，能提供储蓄、汇款、代收费、兑换等基本的金融服务。</w:t>
      </w:r>
    </w:p>
    <w:p>
      <w:pPr>
        <w:spacing w:line="560" w:lineRule="exact"/>
        <w:ind w:firstLine="600" w:firstLineChars="200"/>
        <w:rPr>
          <w:rFonts w:hint="eastAsia" w:ascii="仿宋_GB2312" w:hAnsi="仿宋_GB2312" w:eastAsia="仿宋_GB2312" w:cs="仿宋_GB2312"/>
          <w:sz w:val="30"/>
          <w:szCs w:val="30"/>
        </w:rPr>
      </w:pPr>
      <w:r>
        <w:rPr>
          <w:rFonts w:ascii="仿宋_GB2312" w:hAnsi="仿宋_GB2312" w:eastAsia="仿宋_GB2312" w:cs="仿宋_GB2312"/>
          <w:sz w:val="30"/>
          <w:szCs w:val="30"/>
        </w:rPr>
        <w:t>11</w:t>
      </w:r>
      <w:r>
        <w:rPr>
          <w:rFonts w:hint="eastAsia" w:ascii="仿宋_GB2312" w:hAnsi="仿宋_GB2312" w:eastAsia="仿宋_GB2312" w:cs="仿宋_GB2312"/>
          <w:sz w:val="30"/>
          <w:szCs w:val="30"/>
        </w:rPr>
        <w:t>.公共配送终端</w:t>
      </w:r>
    </w:p>
    <w:p>
      <w:pPr>
        <w:spacing w:line="560" w:lineRule="exact"/>
        <w:ind w:firstLine="600" w:firstLineChars="200"/>
        <w:rPr>
          <w:rFonts w:ascii="Times New Roman" w:hAnsi="Times New Roman" w:eastAsia="仿宋_GB2312"/>
          <w:color w:val="000000" w:themeColor="text1"/>
          <w:sz w:val="30"/>
          <w:szCs w:val="30"/>
          <w14:textFill>
            <w14:solidFill>
              <w14:schemeClr w14:val="tx1"/>
            </w14:solidFill>
          </w14:textFill>
        </w:rPr>
      </w:pPr>
      <w:r>
        <w:rPr>
          <w:rFonts w:hint="eastAsia" w:ascii="Times New Roman" w:hAnsi="Times New Roman" w:eastAsia="仿宋_GB2312"/>
          <w:color w:val="000000" w:themeColor="text1"/>
          <w:sz w:val="30"/>
          <w:szCs w:val="30"/>
          <w14:textFill>
            <w14:solidFill>
              <w14:schemeClr w14:val="tx1"/>
            </w14:solidFill>
          </w14:textFill>
        </w:rPr>
        <w:t>通过新建或结合便利店等方式设置公共配送终端，为社区居民提供智能型包裹投递、快递收取、电子货架、便民缴费等服务。人口规模在</w:t>
      </w:r>
      <w:r>
        <w:rPr>
          <w:rFonts w:ascii="Times New Roman" w:hAnsi="Times New Roman" w:eastAsia="仿宋_GB2312"/>
          <w:color w:val="000000" w:themeColor="text1"/>
          <w:sz w:val="30"/>
          <w:szCs w:val="30"/>
          <w14:textFill>
            <w14:solidFill>
              <w14:schemeClr w14:val="tx1"/>
            </w14:solidFill>
          </w14:textFill>
        </w:rPr>
        <w:t>5000</w:t>
      </w:r>
      <w:r>
        <w:rPr>
          <w:rFonts w:hint="eastAsia" w:ascii="Times New Roman" w:hAnsi="Times New Roman" w:eastAsia="仿宋_GB2312"/>
          <w:color w:val="000000" w:themeColor="text1"/>
          <w:sz w:val="30"/>
          <w:szCs w:val="30"/>
          <w14:textFill>
            <w14:solidFill>
              <w14:schemeClr w14:val="tx1"/>
            </w14:solidFill>
          </w14:textFill>
        </w:rPr>
        <w:t>人以下的社区公共配送网点建筑面积不小于</w:t>
      </w:r>
      <w:r>
        <w:rPr>
          <w:rFonts w:ascii="Times New Roman" w:hAnsi="Times New Roman" w:eastAsia="仿宋_GB2312"/>
          <w:color w:val="000000" w:themeColor="text1"/>
          <w:sz w:val="30"/>
          <w:szCs w:val="30"/>
          <w14:textFill>
            <w14:solidFill>
              <w14:schemeClr w14:val="tx1"/>
            </w14:solidFill>
          </w14:textFill>
        </w:rPr>
        <w:t>20</w:t>
      </w:r>
      <w:r>
        <w:rPr>
          <w:rFonts w:hint="eastAsia" w:ascii="Times New Roman" w:hAnsi="Times New Roman" w:eastAsia="仿宋_GB2312"/>
          <w:color w:val="000000" w:themeColor="text1"/>
          <w:sz w:val="30"/>
          <w:szCs w:val="30"/>
          <w14:textFill>
            <w14:solidFill>
              <w14:schemeClr w14:val="tx1"/>
            </w14:solidFill>
          </w14:textFill>
        </w:rPr>
        <w:t>平方米，人口规模大于</w:t>
      </w:r>
      <w:r>
        <w:rPr>
          <w:rFonts w:ascii="Times New Roman" w:hAnsi="Times New Roman" w:eastAsia="仿宋_GB2312"/>
          <w:color w:val="000000" w:themeColor="text1"/>
          <w:sz w:val="30"/>
          <w:szCs w:val="30"/>
          <w14:textFill>
            <w14:solidFill>
              <w14:schemeClr w14:val="tx1"/>
            </w14:solidFill>
          </w14:textFill>
        </w:rPr>
        <w:t>5000</w:t>
      </w:r>
      <w:r>
        <w:rPr>
          <w:rFonts w:hint="eastAsia" w:ascii="Times New Roman" w:hAnsi="Times New Roman" w:eastAsia="仿宋_GB2312"/>
          <w:color w:val="000000" w:themeColor="text1"/>
          <w:sz w:val="30"/>
          <w:szCs w:val="30"/>
          <w14:textFill>
            <w14:solidFill>
              <w14:schemeClr w14:val="tx1"/>
            </w14:solidFill>
          </w14:textFill>
        </w:rPr>
        <w:t>人的社区，每增加</w:t>
      </w:r>
      <w:r>
        <w:rPr>
          <w:rFonts w:ascii="Times New Roman" w:hAnsi="Times New Roman" w:eastAsia="仿宋_GB2312"/>
          <w:color w:val="000000" w:themeColor="text1"/>
          <w:sz w:val="30"/>
          <w:szCs w:val="30"/>
          <w14:textFill>
            <w14:solidFill>
              <w14:schemeClr w14:val="tx1"/>
            </w14:solidFill>
          </w14:textFill>
        </w:rPr>
        <w:t>1000</w:t>
      </w:r>
      <w:r>
        <w:rPr>
          <w:rFonts w:hint="eastAsia" w:ascii="Times New Roman" w:hAnsi="Times New Roman" w:eastAsia="仿宋_GB2312"/>
          <w:color w:val="000000" w:themeColor="text1"/>
          <w:sz w:val="30"/>
          <w:szCs w:val="30"/>
          <w14:textFill>
            <w14:solidFill>
              <w14:schemeClr w14:val="tx1"/>
            </w14:solidFill>
          </w14:textFill>
        </w:rPr>
        <w:t>人，公共配送网点建筑面积增加</w:t>
      </w:r>
      <w:r>
        <w:rPr>
          <w:rFonts w:ascii="Times New Roman" w:hAnsi="Times New Roman" w:eastAsia="仿宋_GB2312"/>
          <w:color w:val="000000" w:themeColor="text1"/>
          <w:sz w:val="30"/>
          <w:szCs w:val="30"/>
          <w14:textFill>
            <w14:solidFill>
              <w14:schemeClr w14:val="tx1"/>
            </w14:solidFill>
          </w14:textFill>
        </w:rPr>
        <w:t>10</w:t>
      </w:r>
      <w:r>
        <w:rPr>
          <w:rFonts w:hint="eastAsia" w:ascii="Times New Roman" w:hAnsi="Times New Roman" w:eastAsia="仿宋_GB2312"/>
          <w:color w:val="000000" w:themeColor="text1"/>
          <w:sz w:val="30"/>
          <w:szCs w:val="30"/>
          <w14:textFill>
            <w14:solidFill>
              <w14:schemeClr w14:val="tx1"/>
            </w14:solidFill>
          </w14:textFill>
        </w:rPr>
        <w:t>平方米。</w:t>
      </w:r>
    </w:p>
    <w:p>
      <w:pPr>
        <w:spacing w:before="156" w:beforeLines="50" w:after="156" w:afterLines="50" w:line="560" w:lineRule="exact"/>
        <w:ind w:firstLine="602" w:firstLineChars="200"/>
        <w:outlineLvl w:val="1"/>
        <w:rPr>
          <w:rFonts w:hint="eastAsia" w:ascii="黑体" w:hAnsi="黑体" w:eastAsia="黑体"/>
          <w:b/>
          <w:bCs/>
          <w:sz w:val="30"/>
          <w:szCs w:val="30"/>
        </w:rPr>
      </w:pPr>
      <w:bookmarkStart w:id="14" w:name="_Toc183683954"/>
      <w:r>
        <w:rPr>
          <w:rFonts w:hint="eastAsia" w:ascii="黑体" w:hAnsi="黑体" w:eastAsia="黑体"/>
          <w:b/>
          <w:bCs/>
          <w:sz w:val="30"/>
          <w:szCs w:val="30"/>
        </w:rPr>
        <w:t>第四节 商业街规划布局</w:t>
      </w:r>
      <w:bookmarkEnd w:id="14"/>
    </w:p>
    <w:p>
      <w:pPr>
        <w:spacing w:line="560" w:lineRule="exact"/>
        <w:ind w:firstLine="602" w:firstLineChars="200"/>
        <w:rPr>
          <w:rFonts w:hint="eastAsia" w:ascii="仿宋_GB2312" w:hAnsi="黑体" w:eastAsia="仿宋_GB2312"/>
          <w:sz w:val="30"/>
          <w:szCs w:val="30"/>
        </w:rPr>
      </w:pPr>
      <w:r>
        <w:rPr>
          <w:rFonts w:hint="eastAsia" w:ascii="仿宋_GB2312" w:hAnsi="黑体" w:eastAsia="仿宋_GB2312"/>
          <w:b/>
          <w:bCs/>
          <w:sz w:val="30"/>
          <w:szCs w:val="30"/>
        </w:rPr>
        <w:t>第二十四条</w:t>
      </w:r>
      <w:r>
        <w:rPr>
          <w:rFonts w:hint="eastAsia" w:ascii="仿宋_GB2312" w:hAnsi="黑体" w:eastAsia="仿宋_GB2312"/>
          <w:sz w:val="30"/>
          <w:szCs w:val="30"/>
        </w:rPr>
        <w:t xml:space="preserve"> 商业街规划思路</w:t>
      </w:r>
    </w:p>
    <w:p>
      <w:pPr>
        <w:spacing w:line="560" w:lineRule="exact"/>
        <w:ind w:firstLine="600" w:firstLineChars="200"/>
        <w:rPr>
          <w:rFonts w:hint="eastAsia" w:ascii="仿宋_GB2312" w:hAnsi="黑体" w:eastAsia="仿宋_GB2312"/>
          <w:sz w:val="30"/>
          <w:szCs w:val="30"/>
        </w:rPr>
      </w:pPr>
      <w:r>
        <w:rPr>
          <w:rFonts w:hint="eastAsia" w:ascii="仿宋_GB2312" w:hAnsi="黑体" w:eastAsia="仿宋_GB2312"/>
          <w:sz w:val="30"/>
          <w:szCs w:val="30"/>
        </w:rPr>
        <w:t>一是以试点、示范为带动，推动现有商业街区提档升级。结合省级步行街改造提升示范街区建设，以城隍庙步行街、天空之城等街区改造提升为示范带动，推动长治市现有基础较好的街区提档升级，打造若干现代时尚消费特点突出的特色商业街区，培育城市魅力消费名片。</w:t>
      </w:r>
    </w:p>
    <w:p>
      <w:pPr>
        <w:spacing w:line="560" w:lineRule="exact"/>
        <w:ind w:firstLine="600" w:firstLineChars="200"/>
        <w:rPr>
          <w:rFonts w:hint="eastAsia" w:ascii="仿宋_GB2312" w:hAnsi="黑体" w:eastAsia="仿宋_GB2312"/>
          <w:sz w:val="30"/>
          <w:szCs w:val="30"/>
        </w:rPr>
      </w:pPr>
      <w:r>
        <w:rPr>
          <w:rFonts w:hint="eastAsia" w:ascii="仿宋_GB2312" w:hAnsi="黑体" w:eastAsia="仿宋_GB2312"/>
          <w:sz w:val="30"/>
          <w:szCs w:val="30"/>
        </w:rPr>
        <w:t>二是结合城市更新，推动甜水巷、松树街打造具有城市特色魅力的街区。注重城市肌理的保护与历史文化传承，导入新业态新模式，推进街区创新发展，充分挖掘其文化内涵和再生价值，建设展现长治城市内涵、传承城市记忆的特色主题街区。</w:t>
      </w:r>
    </w:p>
    <w:p>
      <w:pPr>
        <w:spacing w:line="560" w:lineRule="exact"/>
        <w:ind w:firstLine="600" w:firstLineChars="200"/>
        <w:rPr>
          <w:rFonts w:hint="eastAsia" w:ascii="仿宋_GB2312" w:hAnsi="黑体" w:eastAsia="仿宋_GB2312"/>
          <w:sz w:val="30"/>
          <w:szCs w:val="30"/>
        </w:rPr>
      </w:pPr>
      <w:r>
        <w:rPr>
          <w:rFonts w:hint="eastAsia" w:ascii="仿宋_GB2312" w:hAnsi="黑体" w:eastAsia="仿宋_GB2312"/>
          <w:sz w:val="30"/>
          <w:szCs w:val="30"/>
        </w:rPr>
        <w:t>三是结合新商圈的建设，培育滨水休闲主题商业街区。结合滨湖新区开发建设，打造时尚潮酷滨特色滨水步行街，形成慢生活街区和“诗意栖居”的城市公共文化空间。</w:t>
      </w:r>
    </w:p>
    <w:p>
      <w:pPr>
        <w:spacing w:line="560" w:lineRule="exact"/>
        <w:ind w:firstLine="600" w:firstLineChars="200"/>
        <w:rPr>
          <w:rFonts w:hint="eastAsia" w:ascii="仿宋_GB2312" w:hAnsi="黑体" w:eastAsia="仿宋_GB2312"/>
          <w:sz w:val="30"/>
          <w:szCs w:val="30"/>
        </w:rPr>
      </w:pPr>
      <w:r>
        <w:rPr>
          <w:rFonts w:hint="eastAsia" w:ascii="仿宋_GB2312" w:hAnsi="黑体" w:eastAsia="仿宋_GB2312"/>
          <w:sz w:val="30"/>
          <w:szCs w:val="30"/>
        </w:rPr>
        <w:t>四是文旅融合，打造文化底蕴深厚的商旅文融合街区。结合上党门、观音庙等优质历史文化遗存资源，深入挖掘长治历史文化、民俗文化底蕴，打造观音堂特色文化街区、上党门昌盛商业街，打造文化特色突出的商旅文融合街区。</w:t>
      </w:r>
    </w:p>
    <w:p>
      <w:pPr>
        <w:spacing w:line="560" w:lineRule="exact"/>
        <w:ind w:firstLine="600" w:firstLineChars="200"/>
        <w:rPr>
          <w:rFonts w:hint="eastAsia" w:ascii="仿宋_GB2312" w:hAnsi="黑体" w:eastAsia="仿宋_GB2312"/>
          <w:sz w:val="30"/>
          <w:szCs w:val="30"/>
        </w:rPr>
      </w:pPr>
      <w:r>
        <w:rPr>
          <w:rFonts w:hint="eastAsia" w:ascii="仿宋_GB2312" w:hAnsi="黑体" w:eastAsia="仿宋_GB2312"/>
          <w:sz w:val="30"/>
          <w:szCs w:val="30"/>
        </w:rPr>
        <w:t>五是传承地方特色美食文化，打造城市餐饮名片。结合传统地方特色美食评选等相关活动开展，提升现有餐饮美食街区品质和档次，改善餐饮消费环境，推动特色餐饮街区建设与发展，形成一批餐饮名店、名街，打造省会餐饮名片。</w:t>
      </w:r>
    </w:p>
    <w:p>
      <w:pPr>
        <w:spacing w:line="560" w:lineRule="exact"/>
        <w:ind w:firstLine="602" w:firstLineChars="200"/>
        <w:rPr>
          <w:rFonts w:hint="eastAsia" w:ascii="仿宋_GB2312" w:hAnsi="黑体" w:eastAsia="仿宋_GB2312"/>
          <w:sz w:val="30"/>
          <w:szCs w:val="30"/>
        </w:rPr>
      </w:pPr>
      <w:r>
        <w:rPr>
          <w:rFonts w:hint="eastAsia" w:ascii="仿宋_GB2312" w:hAnsi="黑体" w:eastAsia="仿宋_GB2312"/>
          <w:b/>
          <w:bCs/>
          <w:sz w:val="30"/>
          <w:szCs w:val="30"/>
        </w:rPr>
        <w:t xml:space="preserve">第二十五条 </w:t>
      </w:r>
      <w:r>
        <w:rPr>
          <w:rFonts w:hint="eastAsia" w:ascii="仿宋_GB2312" w:hAnsi="黑体" w:eastAsia="仿宋_GB2312"/>
          <w:sz w:val="30"/>
          <w:szCs w:val="30"/>
        </w:rPr>
        <w:t>商业街规划布局</w:t>
      </w:r>
    </w:p>
    <w:p>
      <w:pPr>
        <w:spacing w:line="560" w:lineRule="exact"/>
        <w:ind w:firstLine="600" w:firstLineChars="200"/>
        <w:rPr>
          <w:rFonts w:hint="eastAsia" w:ascii="仿宋_GB2312" w:hAnsi="黑体" w:eastAsia="仿宋_GB2312"/>
          <w:sz w:val="30"/>
          <w:szCs w:val="30"/>
        </w:rPr>
      </w:pPr>
      <w:bookmarkStart w:id="15" w:name="_Hlk184052767"/>
      <w:r>
        <w:rPr>
          <w:rFonts w:hint="eastAsia" w:ascii="仿宋_GB2312" w:hAnsi="黑体" w:eastAsia="仿宋_GB2312"/>
          <w:sz w:val="30"/>
          <w:szCs w:val="30"/>
        </w:rPr>
        <w:t>在中心城区重点培育发展21条特色商业街区。其中近期改造提升4条，新建1条；远期改造提升13条，扩建1条，新建2条。</w:t>
      </w:r>
      <w:bookmarkEnd w:id="15"/>
      <w:r>
        <w:rPr>
          <w:rFonts w:hint="eastAsia" w:ascii="仿宋_GB2312" w:hAnsi="黑体" w:eastAsia="仿宋_GB2312"/>
          <w:sz w:val="30"/>
          <w:szCs w:val="30"/>
        </w:rPr>
        <w:t>具体如下。</w:t>
      </w:r>
    </w:p>
    <w:p>
      <w:pPr>
        <w:jc w:val="center"/>
        <w:rPr>
          <w:rFonts w:hint="eastAsia" w:ascii="楷体" w:hAnsi="楷体" w:eastAsia="楷体" w:cs="仿宋_GB2312"/>
          <w:sz w:val="24"/>
          <w:szCs w:val="24"/>
        </w:rPr>
      </w:pPr>
      <w:r>
        <w:rPr>
          <w:rFonts w:hint="eastAsia" w:ascii="楷体" w:hAnsi="楷体" w:eastAsia="楷体" w:cs="仿宋_GB2312"/>
          <w:sz w:val="24"/>
          <w:szCs w:val="24"/>
        </w:rPr>
        <w:t>表3-4-1 商业街规划一览表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44"/>
        <w:gridCol w:w="594"/>
        <w:gridCol w:w="2076"/>
        <w:gridCol w:w="2798"/>
        <w:gridCol w:w="1202"/>
        <w:gridCol w:w="1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267" w:type="pct"/>
            <w:shd w:val="clear" w:color="auto" w:fill="auto"/>
            <w:tcMar>
              <w:top w:w="5" w:type="dxa"/>
              <w:left w:w="5" w:type="dxa"/>
              <w:bottom w:w="0" w:type="dxa"/>
              <w:right w:w="5" w:type="dxa"/>
            </w:tcMar>
            <w:vAlign w:val="center"/>
          </w:tcPr>
          <w:p>
            <w:pPr>
              <w:widowControl/>
              <w:spacing w:before="100" w:beforeAutospacing="1" w:after="100" w:afterAutospacing="1"/>
              <w:jc w:val="center"/>
              <w:rPr>
                <w:rFonts w:hint="eastAsia" w:ascii="宋体" w:hAnsi="宋体" w:cs="宋体"/>
                <w:kern w:val="0"/>
                <w:szCs w:val="21"/>
              </w:rPr>
            </w:pPr>
            <w:r>
              <w:rPr>
                <w:rFonts w:hint="eastAsia" w:ascii="宋体" w:hAnsi="宋体" w:cs="宋体"/>
                <w:b/>
                <w:bCs/>
                <w:color w:val="000000"/>
                <w:kern w:val="0"/>
                <w:szCs w:val="21"/>
              </w:rPr>
              <w:t>区属</w:t>
            </w:r>
          </w:p>
        </w:tc>
        <w:tc>
          <w:tcPr>
            <w:tcW w:w="357" w:type="pct"/>
            <w:shd w:val="clear" w:color="auto" w:fill="auto"/>
            <w:tcMar>
              <w:top w:w="5" w:type="dxa"/>
              <w:left w:w="5" w:type="dxa"/>
              <w:bottom w:w="0" w:type="dxa"/>
              <w:right w:w="5" w:type="dxa"/>
            </w:tcMar>
            <w:vAlign w:val="center"/>
          </w:tcPr>
          <w:p>
            <w:pPr>
              <w:widowControl/>
              <w:spacing w:before="100" w:beforeAutospacing="1" w:after="100" w:afterAutospacing="1"/>
              <w:jc w:val="center"/>
              <w:rPr>
                <w:rFonts w:hint="eastAsia" w:ascii="宋体" w:hAnsi="宋体" w:cs="宋体"/>
                <w:kern w:val="0"/>
                <w:szCs w:val="21"/>
              </w:rPr>
            </w:pPr>
            <w:r>
              <w:rPr>
                <w:rFonts w:hint="eastAsia" w:ascii="宋体" w:hAnsi="宋体" w:cs="宋体"/>
                <w:b/>
                <w:bCs/>
                <w:color w:val="000000"/>
                <w:kern w:val="0"/>
                <w:szCs w:val="21"/>
              </w:rPr>
              <w:t>序号</w:t>
            </w:r>
          </w:p>
        </w:tc>
        <w:tc>
          <w:tcPr>
            <w:tcW w:w="1248" w:type="pct"/>
            <w:shd w:val="clear" w:color="auto" w:fill="auto"/>
            <w:tcMar>
              <w:top w:w="5" w:type="dxa"/>
              <w:left w:w="5" w:type="dxa"/>
              <w:bottom w:w="0" w:type="dxa"/>
              <w:right w:w="5" w:type="dxa"/>
            </w:tcMar>
            <w:vAlign w:val="center"/>
          </w:tcPr>
          <w:p>
            <w:pPr>
              <w:widowControl/>
              <w:spacing w:before="100" w:beforeAutospacing="1" w:after="100" w:afterAutospacing="1"/>
              <w:jc w:val="center"/>
              <w:rPr>
                <w:rFonts w:hint="eastAsia" w:ascii="宋体" w:hAnsi="宋体" w:cs="宋体"/>
                <w:kern w:val="0"/>
                <w:szCs w:val="21"/>
              </w:rPr>
            </w:pPr>
            <w:r>
              <w:rPr>
                <w:rFonts w:hint="eastAsia" w:ascii="宋体" w:hAnsi="宋体" w:cs="宋体"/>
                <w:b/>
                <w:bCs/>
                <w:color w:val="000000"/>
                <w:kern w:val="0"/>
                <w:szCs w:val="21"/>
              </w:rPr>
              <w:t>名称</w:t>
            </w:r>
          </w:p>
        </w:tc>
        <w:tc>
          <w:tcPr>
            <w:tcW w:w="1682" w:type="pct"/>
            <w:shd w:val="clear" w:color="auto" w:fill="auto"/>
            <w:tcMar>
              <w:top w:w="5" w:type="dxa"/>
              <w:left w:w="5" w:type="dxa"/>
              <w:bottom w:w="0" w:type="dxa"/>
              <w:right w:w="5" w:type="dxa"/>
            </w:tcMar>
            <w:vAlign w:val="center"/>
          </w:tcPr>
          <w:p>
            <w:pPr>
              <w:widowControl/>
              <w:spacing w:before="100" w:beforeAutospacing="1" w:after="100" w:afterAutospacing="1"/>
              <w:jc w:val="center"/>
              <w:rPr>
                <w:rFonts w:hint="eastAsia" w:ascii="宋体" w:hAnsi="宋体" w:cs="宋体"/>
                <w:kern w:val="0"/>
                <w:szCs w:val="21"/>
              </w:rPr>
            </w:pPr>
            <w:r>
              <w:rPr>
                <w:rFonts w:hint="eastAsia" w:ascii="宋体" w:hAnsi="宋体" w:cs="宋体"/>
                <w:b/>
                <w:bCs/>
                <w:color w:val="000000"/>
                <w:kern w:val="0"/>
                <w:szCs w:val="21"/>
              </w:rPr>
              <w:t>位置</w:t>
            </w:r>
          </w:p>
        </w:tc>
        <w:tc>
          <w:tcPr>
            <w:tcW w:w="723" w:type="pct"/>
            <w:vAlign w:val="center"/>
          </w:tcPr>
          <w:p>
            <w:pPr>
              <w:widowControl/>
              <w:spacing w:before="100" w:beforeAutospacing="1" w:after="100" w:afterAutospacing="1"/>
              <w:jc w:val="center"/>
              <w:rPr>
                <w:rFonts w:hint="eastAsia" w:ascii="宋体" w:hAnsi="宋体" w:cs="宋体"/>
                <w:b/>
                <w:bCs/>
                <w:color w:val="000000"/>
                <w:kern w:val="0"/>
                <w:szCs w:val="21"/>
              </w:rPr>
            </w:pPr>
            <w:r>
              <w:rPr>
                <w:rFonts w:hint="eastAsia" w:ascii="宋体" w:hAnsi="宋体" w:cs="宋体"/>
                <w:b/>
                <w:bCs/>
                <w:color w:val="000000"/>
                <w:kern w:val="0"/>
                <w:szCs w:val="21"/>
              </w:rPr>
              <w:t>规划意向</w:t>
            </w:r>
          </w:p>
        </w:tc>
        <w:tc>
          <w:tcPr>
            <w:tcW w:w="723" w:type="pct"/>
            <w:vAlign w:val="center"/>
          </w:tcPr>
          <w:p>
            <w:pPr>
              <w:widowControl/>
              <w:spacing w:before="100" w:beforeAutospacing="1" w:after="100" w:afterAutospacing="1"/>
              <w:jc w:val="center"/>
              <w:rPr>
                <w:rFonts w:hint="eastAsia" w:ascii="宋体" w:hAnsi="宋体" w:cs="宋体"/>
                <w:b/>
                <w:bCs/>
                <w:color w:val="000000"/>
                <w:kern w:val="0"/>
                <w:szCs w:val="21"/>
              </w:rPr>
            </w:pPr>
            <w:r>
              <w:rPr>
                <w:rFonts w:hint="eastAsia" w:ascii="宋体" w:hAnsi="宋体" w:cs="宋体"/>
                <w:b/>
                <w:bCs/>
                <w:color w:val="000000"/>
                <w:kern w:val="0"/>
                <w:szCs w:val="21"/>
              </w:rPr>
              <w:t>规划时序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67" w:type="pct"/>
            <w:vMerge w:val="restart"/>
            <w:shd w:val="clear" w:color="auto" w:fill="auto"/>
            <w:tcMar>
              <w:top w:w="8" w:type="dxa"/>
              <w:left w:w="8" w:type="dxa"/>
              <w:bottom w:w="0" w:type="dxa"/>
              <w:right w:w="8" w:type="dxa"/>
            </w:tcMar>
            <w:vAlign w:val="center"/>
          </w:tcPr>
          <w:p>
            <w:pPr>
              <w:widowControl/>
              <w:spacing w:before="100" w:beforeAutospacing="1" w:after="100" w:afterAutospacing="1"/>
              <w:jc w:val="center"/>
              <w:rPr>
                <w:rFonts w:hint="eastAsia" w:ascii="宋体" w:hAnsi="宋体" w:cs="宋体"/>
                <w:kern w:val="0"/>
                <w:szCs w:val="21"/>
              </w:rPr>
            </w:pPr>
            <w:r>
              <w:rPr>
                <w:rFonts w:hint="eastAsia" w:ascii="宋体" w:hAnsi="宋体" w:cs="宋体"/>
                <w:b/>
                <w:bCs/>
                <w:color w:val="000000"/>
                <w:kern w:val="0"/>
                <w:szCs w:val="21"/>
              </w:rPr>
              <w:t>潞州</w:t>
            </w:r>
          </w:p>
        </w:tc>
        <w:tc>
          <w:tcPr>
            <w:tcW w:w="357" w:type="pct"/>
            <w:shd w:val="clear" w:color="auto" w:fill="auto"/>
            <w:tcMar>
              <w:top w:w="8" w:type="dxa"/>
              <w:left w:w="8" w:type="dxa"/>
              <w:bottom w:w="0" w:type="dxa"/>
              <w:right w:w="8" w:type="dxa"/>
            </w:tcMar>
            <w:vAlign w:val="center"/>
          </w:tcPr>
          <w:p>
            <w:pPr>
              <w:widowControl/>
              <w:spacing w:before="100" w:beforeAutospacing="1" w:after="100" w:afterAutospacing="1"/>
              <w:jc w:val="center"/>
              <w:rPr>
                <w:rFonts w:ascii="Times New Roman" w:hAnsi="Times New Roman"/>
                <w:kern w:val="0"/>
                <w:szCs w:val="21"/>
              </w:rPr>
            </w:pPr>
            <w:r>
              <w:rPr>
                <w:rFonts w:hint="eastAsia" w:ascii="Times New Roman" w:hAnsi="Times New Roman"/>
                <w:color w:val="000000"/>
                <w:kern w:val="0"/>
                <w:szCs w:val="21"/>
              </w:rPr>
              <w:t>1</w:t>
            </w:r>
          </w:p>
        </w:tc>
        <w:tc>
          <w:tcPr>
            <w:tcW w:w="1248" w:type="pct"/>
            <w:shd w:val="clear" w:color="auto" w:fill="auto"/>
            <w:tcMar>
              <w:top w:w="8" w:type="dxa"/>
              <w:left w:w="8" w:type="dxa"/>
              <w:bottom w:w="0" w:type="dxa"/>
              <w:right w:w="8" w:type="dxa"/>
            </w:tcMar>
            <w:vAlign w:val="center"/>
          </w:tcPr>
          <w:p>
            <w:pPr>
              <w:widowControl/>
              <w:jc w:val="center"/>
              <w:rPr>
                <w:rFonts w:hint="eastAsia" w:ascii="宋体" w:hAnsi="宋体"/>
                <w:szCs w:val="21"/>
              </w:rPr>
            </w:pPr>
            <w:r>
              <w:rPr>
                <w:rFonts w:hint="eastAsia" w:ascii="宋体" w:hAnsi="宋体"/>
                <w:szCs w:val="21"/>
              </w:rPr>
              <w:t>城隍庙广场</w:t>
            </w:r>
          </w:p>
        </w:tc>
        <w:tc>
          <w:tcPr>
            <w:tcW w:w="1682" w:type="pct"/>
            <w:shd w:val="clear" w:color="auto" w:fill="auto"/>
            <w:tcMar>
              <w:top w:w="8" w:type="dxa"/>
              <w:left w:w="8" w:type="dxa"/>
              <w:bottom w:w="0" w:type="dxa"/>
              <w:right w:w="8" w:type="dxa"/>
            </w:tcMar>
            <w:vAlign w:val="center"/>
          </w:tcPr>
          <w:p>
            <w:pPr>
              <w:widowControl/>
              <w:rPr>
                <w:rFonts w:hint="eastAsia" w:ascii="宋体" w:hAnsi="宋体"/>
                <w:szCs w:val="21"/>
              </w:rPr>
            </w:pPr>
            <w:r>
              <w:rPr>
                <w:rFonts w:hint="eastAsia" w:ascii="宋体" w:hAnsi="宋体"/>
                <w:szCs w:val="21"/>
              </w:rPr>
              <w:t>北接庙道巷,南到东大街,西邻长兴中路</w:t>
            </w:r>
          </w:p>
        </w:tc>
        <w:tc>
          <w:tcPr>
            <w:tcW w:w="723" w:type="pct"/>
            <w:vAlign w:val="center"/>
          </w:tcPr>
          <w:p>
            <w:pPr>
              <w:widowControl/>
              <w:jc w:val="center"/>
              <w:rPr>
                <w:rFonts w:hint="eastAsia" w:ascii="宋体" w:hAnsi="宋体"/>
                <w:szCs w:val="21"/>
              </w:rPr>
            </w:pPr>
            <w:r>
              <w:rPr>
                <w:rFonts w:hint="eastAsia" w:ascii="宋体" w:hAnsi="宋体"/>
                <w:szCs w:val="21"/>
              </w:rPr>
              <w:t>改造提升</w:t>
            </w:r>
          </w:p>
        </w:tc>
        <w:tc>
          <w:tcPr>
            <w:tcW w:w="723" w:type="pct"/>
            <w:vAlign w:val="center"/>
          </w:tcPr>
          <w:p>
            <w:pPr>
              <w:widowControl/>
              <w:jc w:val="center"/>
              <w:rPr>
                <w:rFonts w:hint="eastAsia" w:ascii="宋体" w:hAnsi="宋体"/>
                <w:szCs w:val="21"/>
              </w:rPr>
            </w:pPr>
            <w:r>
              <w:rPr>
                <w:rFonts w:hint="eastAsia" w:ascii="宋体" w:hAnsi="宋体"/>
                <w:szCs w:val="21"/>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67" w:type="pct"/>
            <w:vMerge w:val="continue"/>
            <w:shd w:val="clear" w:color="auto" w:fill="auto"/>
            <w:tcMar>
              <w:top w:w="8" w:type="dxa"/>
              <w:left w:w="8" w:type="dxa"/>
              <w:bottom w:w="0" w:type="dxa"/>
              <w:right w:w="8" w:type="dxa"/>
            </w:tcMar>
            <w:vAlign w:val="center"/>
          </w:tcPr>
          <w:p>
            <w:pPr>
              <w:widowControl/>
              <w:spacing w:before="100" w:beforeAutospacing="1" w:after="100" w:afterAutospacing="1"/>
              <w:jc w:val="center"/>
              <w:rPr>
                <w:rFonts w:hint="eastAsia" w:ascii="宋体" w:hAnsi="宋体" w:cs="宋体"/>
                <w:b/>
                <w:bCs/>
                <w:color w:val="000000"/>
                <w:kern w:val="0"/>
                <w:szCs w:val="21"/>
              </w:rPr>
            </w:pPr>
          </w:p>
        </w:tc>
        <w:tc>
          <w:tcPr>
            <w:tcW w:w="357" w:type="pct"/>
            <w:shd w:val="clear" w:color="auto" w:fill="auto"/>
            <w:tcMar>
              <w:top w:w="8" w:type="dxa"/>
              <w:left w:w="8" w:type="dxa"/>
              <w:bottom w:w="0" w:type="dxa"/>
              <w:right w:w="8" w:type="dxa"/>
            </w:tcMar>
            <w:vAlign w:val="center"/>
          </w:tcPr>
          <w:p>
            <w:pPr>
              <w:widowControl/>
              <w:spacing w:before="100" w:beforeAutospacing="1" w:after="100" w:afterAutospacing="1"/>
              <w:jc w:val="center"/>
              <w:rPr>
                <w:rFonts w:ascii="Times New Roman" w:hAnsi="Times New Roman"/>
                <w:color w:val="000000"/>
                <w:kern w:val="0"/>
                <w:szCs w:val="21"/>
              </w:rPr>
            </w:pPr>
            <w:r>
              <w:rPr>
                <w:rFonts w:hint="eastAsia" w:ascii="Times New Roman" w:hAnsi="Times New Roman"/>
                <w:color w:val="000000"/>
                <w:kern w:val="0"/>
                <w:szCs w:val="21"/>
              </w:rPr>
              <w:t>2</w:t>
            </w:r>
          </w:p>
        </w:tc>
        <w:tc>
          <w:tcPr>
            <w:tcW w:w="1248" w:type="pct"/>
            <w:shd w:val="clear" w:color="auto" w:fill="auto"/>
            <w:tcMar>
              <w:top w:w="8" w:type="dxa"/>
              <w:left w:w="8" w:type="dxa"/>
              <w:bottom w:w="0" w:type="dxa"/>
              <w:right w:w="8" w:type="dxa"/>
            </w:tcMar>
            <w:vAlign w:val="center"/>
          </w:tcPr>
          <w:p>
            <w:pPr>
              <w:widowControl/>
              <w:jc w:val="center"/>
              <w:rPr>
                <w:rFonts w:hint="eastAsia" w:ascii="宋体" w:hAnsi="宋体"/>
                <w:szCs w:val="21"/>
              </w:rPr>
            </w:pPr>
            <w:r>
              <w:rPr>
                <w:rFonts w:hint="eastAsia" w:ascii="宋体" w:hAnsi="宋体"/>
                <w:szCs w:val="21"/>
              </w:rPr>
              <w:t>长治手机一条街</w:t>
            </w:r>
          </w:p>
        </w:tc>
        <w:tc>
          <w:tcPr>
            <w:tcW w:w="1682" w:type="pct"/>
            <w:shd w:val="clear" w:color="auto" w:fill="auto"/>
            <w:tcMar>
              <w:top w:w="8" w:type="dxa"/>
              <w:left w:w="8" w:type="dxa"/>
              <w:bottom w:w="0" w:type="dxa"/>
              <w:right w:w="8" w:type="dxa"/>
            </w:tcMar>
            <w:vAlign w:val="center"/>
          </w:tcPr>
          <w:p>
            <w:pPr>
              <w:widowControl/>
              <w:rPr>
                <w:rFonts w:hint="eastAsia" w:ascii="宋体" w:hAnsi="宋体"/>
                <w:szCs w:val="21"/>
              </w:rPr>
            </w:pPr>
            <w:r>
              <w:rPr>
                <w:rFonts w:hint="eastAsia" w:ascii="宋体" w:hAnsi="宋体"/>
                <w:szCs w:val="21"/>
              </w:rPr>
              <w:t>新营街，英雄中路与长兴中路之间</w:t>
            </w:r>
          </w:p>
        </w:tc>
        <w:tc>
          <w:tcPr>
            <w:tcW w:w="723" w:type="pct"/>
            <w:vAlign w:val="center"/>
          </w:tcPr>
          <w:p>
            <w:pPr>
              <w:widowControl/>
              <w:jc w:val="center"/>
              <w:rPr>
                <w:rFonts w:hint="eastAsia" w:ascii="宋体" w:hAnsi="宋体"/>
                <w:szCs w:val="21"/>
              </w:rPr>
            </w:pPr>
            <w:r>
              <w:rPr>
                <w:rFonts w:hint="eastAsia" w:ascii="宋体" w:hAnsi="宋体"/>
                <w:szCs w:val="21"/>
              </w:rPr>
              <w:t>改造提升</w:t>
            </w:r>
          </w:p>
        </w:tc>
        <w:tc>
          <w:tcPr>
            <w:tcW w:w="723" w:type="pct"/>
            <w:vAlign w:val="center"/>
          </w:tcPr>
          <w:p>
            <w:pPr>
              <w:widowControl/>
              <w:jc w:val="center"/>
              <w:rPr>
                <w:rFonts w:hint="eastAsia" w:ascii="宋体" w:hAnsi="宋体"/>
                <w:szCs w:val="21"/>
              </w:rPr>
            </w:pPr>
            <w:r>
              <w:rPr>
                <w:rFonts w:hint="eastAsia" w:ascii="宋体" w:hAnsi="宋体"/>
                <w:szCs w:val="21"/>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8" w:hRule="atLeast"/>
          <w:jc w:val="center"/>
        </w:trPr>
        <w:tc>
          <w:tcPr>
            <w:tcW w:w="267" w:type="pct"/>
            <w:vMerge w:val="continue"/>
            <w:shd w:val="clear" w:color="auto" w:fill="auto"/>
            <w:tcMar>
              <w:top w:w="8" w:type="dxa"/>
              <w:left w:w="8" w:type="dxa"/>
              <w:bottom w:w="0" w:type="dxa"/>
              <w:right w:w="8" w:type="dxa"/>
            </w:tcMar>
            <w:vAlign w:val="center"/>
          </w:tcPr>
          <w:p>
            <w:pPr>
              <w:widowControl/>
              <w:spacing w:before="100" w:beforeAutospacing="1" w:after="100" w:afterAutospacing="1"/>
              <w:jc w:val="center"/>
              <w:rPr>
                <w:rFonts w:hint="eastAsia" w:ascii="宋体" w:hAnsi="宋体" w:cs="宋体"/>
                <w:b/>
                <w:bCs/>
                <w:color w:val="000000"/>
                <w:kern w:val="0"/>
                <w:szCs w:val="21"/>
              </w:rPr>
            </w:pPr>
          </w:p>
        </w:tc>
        <w:tc>
          <w:tcPr>
            <w:tcW w:w="357" w:type="pct"/>
            <w:shd w:val="clear" w:color="auto" w:fill="auto"/>
            <w:tcMar>
              <w:top w:w="8" w:type="dxa"/>
              <w:left w:w="8" w:type="dxa"/>
              <w:bottom w:w="0" w:type="dxa"/>
              <w:right w:w="8" w:type="dxa"/>
            </w:tcMar>
            <w:vAlign w:val="center"/>
          </w:tcPr>
          <w:p>
            <w:pPr>
              <w:widowControl/>
              <w:spacing w:before="100" w:beforeAutospacing="1" w:after="100" w:afterAutospacing="1"/>
              <w:jc w:val="center"/>
              <w:rPr>
                <w:rFonts w:ascii="Times New Roman" w:hAnsi="Times New Roman"/>
                <w:color w:val="000000"/>
                <w:kern w:val="0"/>
                <w:szCs w:val="21"/>
              </w:rPr>
            </w:pPr>
            <w:r>
              <w:rPr>
                <w:rFonts w:hint="eastAsia" w:ascii="Times New Roman" w:hAnsi="Times New Roman"/>
                <w:color w:val="000000"/>
                <w:kern w:val="0"/>
                <w:szCs w:val="21"/>
              </w:rPr>
              <w:t>3</w:t>
            </w:r>
          </w:p>
        </w:tc>
        <w:tc>
          <w:tcPr>
            <w:tcW w:w="1248" w:type="pct"/>
            <w:shd w:val="clear" w:color="auto" w:fill="auto"/>
            <w:tcMar>
              <w:top w:w="8" w:type="dxa"/>
              <w:left w:w="8" w:type="dxa"/>
              <w:bottom w:w="0" w:type="dxa"/>
              <w:right w:w="8" w:type="dxa"/>
            </w:tcMar>
            <w:vAlign w:val="center"/>
          </w:tcPr>
          <w:p>
            <w:pPr>
              <w:widowControl/>
              <w:jc w:val="center"/>
              <w:rPr>
                <w:rFonts w:hint="eastAsia" w:ascii="宋体" w:hAnsi="宋体"/>
                <w:szCs w:val="21"/>
              </w:rPr>
            </w:pPr>
            <w:r>
              <w:rPr>
                <w:rFonts w:hint="eastAsia" w:ascii="宋体" w:hAnsi="宋体"/>
                <w:szCs w:val="21"/>
              </w:rPr>
              <w:t>上党门昌盛步行街</w:t>
            </w:r>
          </w:p>
        </w:tc>
        <w:tc>
          <w:tcPr>
            <w:tcW w:w="1682" w:type="pct"/>
            <w:shd w:val="clear" w:color="auto" w:fill="auto"/>
            <w:tcMar>
              <w:top w:w="8" w:type="dxa"/>
              <w:left w:w="8" w:type="dxa"/>
              <w:bottom w:w="0" w:type="dxa"/>
              <w:right w:w="8" w:type="dxa"/>
            </w:tcMar>
            <w:vAlign w:val="center"/>
          </w:tcPr>
          <w:p>
            <w:pPr>
              <w:widowControl/>
              <w:rPr>
                <w:rFonts w:hint="eastAsia" w:ascii="宋体" w:hAnsi="宋体"/>
                <w:szCs w:val="21"/>
              </w:rPr>
            </w:pPr>
            <w:r>
              <w:rPr>
                <w:rFonts w:hint="eastAsia" w:ascii="宋体" w:hAnsi="宋体"/>
                <w:szCs w:val="21"/>
              </w:rPr>
              <w:t xml:space="preserve">府坡街、府上街 </w:t>
            </w:r>
          </w:p>
        </w:tc>
        <w:tc>
          <w:tcPr>
            <w:tcW w:w="723" w:type="pct"/>
            <w:vAlign w:val="center"/>
          </w:tcPr>
          <w:p>
            <w:pPr>
              <w:widowControl/>
              <w:jc w:val="center"/>
              <w:rPr>
                <w:rFonts w:hint="eastAsia" w:ascii="宋体" w:hAnsi="宋体"/>
                <w:szCs w:val="21"/>
              </w:rPr>
            </w:pPr>
            <w:r>
              <w:rPr>
                <w:rFonts w:hint="eastAsia" w:ascii="宋体" w:hAnsi="宋体"/>
                <w:szCs w:val="21"/>
              </w:rPr>
              <w:t>扩建</w:t>
            </w:r>
          </w:p>
        </w:tc>
        <w:tc>
          <w:tcPr>
            <w:tcW w:w="723" w:type="pct"/>
            <w:vAlign w:val="center"/>
          </w:tcPr>
          <w:p>
            <w:pPr>
              <w:widowControl/>
              <w:jc w:val="center"/>
              <w:rPr>
                <w:rFonts w:hint="eastAsia" w:ascii="宋体" w:hAnsi="宋体"/>
                <w:szCs w:val="21"/>
              </w:rPr>
            </w:pPr>
            <w:r>
              <w:rPr>
                <w:rFonts w:hint="eastAsia" w:ascii="宋体" w:hAnsi="宋体"/>
                <w:szCs w:val="21"/>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67" w:type="pct"/>
            <w:vMerge w:val="continue"/>
            <w:shd w:val="clear" w:color="auto" w:fill="auto"/>
            <w:tcMar>
              <w:top w:w="8" w:type="dxa"/>
              <w:left w:w="8" w:type="dxa"/>
              <w:bottom w:w="0" w:type="dxa"/>
              <w:right w:w="8" w:type="dxa"/>
            </w:tcMar>
            <w:vAlign w:val="center"/>
          </w:tcPr>
          <w:p>
            <w:pPr>
              <w:widowControl/>
              <w:spacing w:before="100" w:beforeAutospacing="1" w:after="100" w:afterAutospacing="1"/>
              <w:jc w:val="center"/>
              <w:rPr>
                <w:rFonts w:hint="eastAsia" w:ascii="宋体" w:hAnsi="宋体" w:cs="宋体"/>
                <w:b/>
                <w:bCs/>
                <w:color w:val="000000"/>
                <w:kern w:val="0"/>
                <w:szCs w:val="21"/>
              </w:rPr>
            </w:pPr>
          </w:p>
        </w:tc>
        <w:tc>
          <w:tcPr>
            <w:tcW w:w="357" w:type="pct"/>
            <w:shd w:val="clear" w:color="auto" w:fill="auto"/>
            <w:tcMar>
              <w:top w:w="8" w:type="dxa"/>
              <w:left w:w="8" w:type="dxa"/>
              <w:bottom w:w="0" w:type="dxa"/>
              <w:right w:w="8" w:type="dxa"/>
            </w:tcMar>
            <w:vAlign w:val="center"/>
          </w:tcPr>
          <w:p>
            <w:pPr>
              <w:widowControl/>
              <w:spacing w:before="100" w:beforeAutospacing="1" w:after="100" w:afterAutospacing="1"/>
              <w:jc w:val="center"/>
              <w:rPr>
                <w:rFonts w:ascii="Times New Roman" w:hAnsi="Times New Roman"/>
                <w:color w:val="000000"/>
                <w:kern w:val="0"/>
                <w:szCs w:val="21"/>
              </w:rPr>
            </w:pPr>
            <w:r>
              <w:rPr>
                <w:rFonts w:hint="eastAsia" w:ascii="Times New Roman" w:hAnsi="Times New Roman"/>
                <w:color w:val="000000"/>
                <w:kern w:val="0"/>
                <w:szCs w:val="21"/>
              </w:rPr>
              <w:t>4</w:t>
            </w:r>
          </w:p>
        </w:tc>
        <w:tc>
          <w:tcPr>
            <w:tcW w:w="1248" w:type="pct"/>
            <w:shd w:val="clear" w:color="auto" w:fill="auto"/>
            <w:tcMar>
              <w:top w:w="8" w:type="dxa"/>
              <w:left w:w="8" w:type="dxa"/>
              <w:bottom w:w="0" w:type="dxa"/>
              <w:right w:w="8" w:type="dxa"/>
            </w:tcMar>
            <w:vAlign w:val="center"/>
          </w:tcPr>
          <w:p>
            <w:pPr>
              <w:widowControl/>
              <w:jc w:val="center"/>
              <w:rPr>
                <w:rFonts w:hint="eastAsia" w:ascii="宋体" w:hAnsi="宋体"/>
                <w:szCs w:val="21"/>
              </w:rPr>
            </w:pPr>
            <w:r>
              <w:rPr>
                <w:rFonts w:hint="eastAsia" w:ascii="宋体" w:hAnsi="宋体"/>
                <w:szCs w:val="21"/>
              </w:rPr>
              <w:t>云步街</w:t>
            </w:r>
          </w:p>
        </w:tc>
        <w:tc>
          <w:tcPr>
            <w:tcW w:w="1682" w:type="pct"/>
            <w:shd w:val="clear" w:color="auto" w:fill="auto"/>
            <w:tcMar>
              <w:top w:w="8" w:type="dxa"/>
              <w:left w:w="8" w:type="dxa"/>
              <w:bottom w:w="0" w:type="dxa"/>
              <w:right w:w="8" w:type="dxa"/>
            </w:tcMar>
            <w:vAlign w:val="center"/>
          </w:tcPr>
          <w:p>
            <w:pPr>
              <w:widowControl/>
              <w:rPr>
                <w:rFonts w:hint="eastAsia" w:ascii="宋体" w:hAnsi="宋体"/>
                <w:szCs w:val="21"/>
              </w:rPr>
            </w:pPr>
            <w:r>
              <w:rPr>
                <w:rFonts w:hint="eastAsia" w:ascii="宋体" w:hAnsi="宋体"/>
                <w:szCs w:val="21"/>
              </w:rPr>
              <w:t>云步街，延安中路与新营东街之间</w:t>
            </w:r>
          </w:p>
        </w:tc>
        <w:tc>
          <w:tcPr>
            <w:tcW w:w="723" w:type="pct"/>
            <w:vAlign w:val="center"/>
          </w:tcPr>
          <w:p>
            <w:pPr>
              <w:widowControl/>
              <w:jc w:val="center"/>
              <w:rPr>
                <w:rFonts w:hint="eastAsia" w:ascii="宋体" w:hAnsi="宋体"/>
                <w:szCs w:val="21"/>
              </w:rPr>
            </w:pPr>
            <w:r>
              <w:rPr>
                <w:rFonts w:hint="eastAsia" w:ascii="宋体" w:hAnsi="宋体"/>
                <w:szCs w:val="21"/>
              </w:rPr>
              <w:t>改造提升</w:t>
            </w:r>
          </w:p>
        </w:tc>
        <w:tc>
          <w:tcPr>
            <w:tcW w:w="723" w:type="pct"/>
            <w:vAlign w:val="center"/>
          </w:tcPr>
          <w:p>
            <w:pPr>
              <w:widowControl/>
              <w:jc w:val="center"/>
              <w:rPr>
                <w:rFonts w:hint="eastAsia" w:ascii="宋体" w:hAnsi="宋体"/>
                <w:szCs w:val="21"/>
              </w:rPr>
            </w:pPr>
            <w:r>
              <w:rPr>
                <w:rFonts w:hint="eastAsia" w:ascii="宋体" w:hAnsi="宋体"/>
                <w:szCs w:val="21"/>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67" w:type="pct"/>
            <w:vMerge w:val="continue"/>
            <w:shd w:val="clear" w:color="auto" w:fill="auto"/>
            <w:tcMar>
              <w:top w:w="8" w:type="dxa"/>
              <w:left w:w="8" w:type="dxa"/>
              <w:bottom w:w="0" w:type="dxa"/>
              <w:right w:w="8" w:type="dxa"/>
            </w:tcMar>
            <w:vAlign w:val="center"/>
          </w:tcPr>
          <w:p>
            <w:pPr>
              <w:widowControl/>
              <w:spacing w:before="100" w:beforeAutospacing="1" w:after="100" w:afterAutospacing="1"/>
              <w:jc w:val="center"/>
              <w:rPr>
                <w:rFonts w:hint="eastAsia" w:ascii="宋体" w:hAnsi="宋体" w:cs="宋体"/>
                <w:b/>
                <w:bCs/>
                <w:color w:val="000000"/>
                <w:kern w:val="0"/>
                <w:szCs w:val="21"/>
              </w:rPr>
            </w:pPr>
          </w:p>
        </w:tc>
        <w:tc>
          <w:tcPr>
            <w:tcW w:w="357" w:type="pct"/>
            <w:shd w:val="clear" w:color="auto" w:fill="auto"/>
            <w:tcMar>
              <w:top w:w="8" w:type="dxa"/>
              <w:left w:w="8" w:type="dxa"/>
              <w:bottom w:w="0" w:type="dxa"/>
              <w:right w:w="8" w:type="dxa"/>
            </w:tcMar>
            <w:vAlign w:val="center"/>
          </w:tcPr>
          <w:p>
            <w:pPr>
              <w:widowControl/>
              <w:spacing w:before="100" w:beforeAutospacing="1" w:after="100" w:afterAutospacing="1"/>
              <w:jc w:val="center"/>
              <w:rPr>
                <w:rFonts w:ascii="Times New Roman" w:hAnsi="Times New Roman"/>
                <w:color w:val="000000"/>
                <w:kern w:val="0"/>
                <w:szCs w:val="21"/>
              </w:rPr>
            </w:pPr>
            <w:r>
              <w:rPr>
                <w:rFonts w:hint="eastAsia" w:ascii="Times New Roman" w:hAnsi="Times New Roman"/>
                <w:color w:val="000000"/>
                <w:kern w:val="0"/>
                <w:szCs w:val="21"/>
              </w:rPr>
              <w:t>5</w:t>
            </w:r>
          </w:p>
        </w:tc>
        <w:tc>
          <w:tcPr>
            <w:tcW w:w="1248" w:type="pct"/>
            <w:shd w:val="clear" w:color="auto" w:fill="auto"/>
            <w:tcMar>
              <w:top w:w="8" w:type="dxa"/>
              <w:left w:w="8" w:type="dxa"/>
              <w:bottom w:w="0" w:type="dxa"/>
              <w:right w:w="8" w:type="dxa"/>
            </w:tcMar>
            <w:vAlign w:val="center"/>
          </w:tcPr>
          <w:p>
            <w:pPr>
              <w:widowControl/>
              <w:jc w:val="center"/>
              <w:rPr>
                <w:rFonts w:hint="eastAsia" w:ascii="宋体" w:hAnsi="宋体"/>
                <w:szCs w:val="21"/>
              </w:rPr>
            </w:pPr>
            <w:r>
              <w:rPr>
                <w:rFonts w:hint="eastAsia" w:ascii="宋体" w:hAnsi="宋体"/>
                <w:szCs w:val="21"/>
              </w:rPr>
              <w:t>正则时代广场</w:t>
            </w:r>
          </w:p>
        </w:tc>
        <w:tc>
          <w:tcPr>
            <w:tcW w:w="1682" w:type="pct"/>
            <w:shd w:val="clear" w:color="auto" w:fill="auto"/>
            <w:tcMar>
              <w:top w:w="8" w:type="dxa"/>
              <w:left w:w="8" w:type="dxa"/>
              <w:bottom w:w="0" w:type="dxa"/>
              <w:right w:w="8" w:type="dxa"/>
            </w:tcMar>
            <w:vAlign w:val="center"/>
          </w:tcPr>
          <w:p>
            <w:pPr>
              <w:widowControl/>
              <w:rPr>
                <w:rFonts w:hint="eastAsia" w:ascii="宋体" w:hAnsi="宋体"/>
                <w:szCs w:val="21"/>
              </w:rPr>
            </w:pPr>
            <w:r>
              <w:rPr>
                <w:rFonts w:hint="eastAsia" w:ascii="宋体" w:hAnsi="宋体"/>
                <w:szCs w:val="21"/>
              </w:rPr>
              <w:t>泰舸小区南，西环路与太行南路之间</w:t>
            </w:r>
          </w:p>
        </w:tc>
        <w:tc>
          <w:tcPr>
            <w:tcW w:w="723" w:type="pct"/>
            <w:vAlign w:val="center"/>
          </w:tcPr>
          <w:p>
            <w:pPr>
              <w:widowControl/>
              <w:jc w:val="center"/>
              <w:rPr>
                <w:rFonts w:hint="eastAsia" w:ascii="宋体" w:hAnsi="宋体"/>
                <w:szCs w:val="21"/>
              </w:rPr>
            </w:pPr>
            <w:r>
              <w:rPr>
                <w:rFonts w:hint="eastAsia" w:ascii="宋体" w:hAnsi="宋体"/>
                <w:szCs w:val="21"/>
              </w:rPr>
              <w:t>改造提升</w:t>
            </w:r>
          </w:p>
        </w:tc>
        <w:tc>
          <w:tcPr>
            <w:tcW w:w="723" w:type="pct"/>
            <w:vAlign w:val="center"/>
          </w:tcPr>
          <w:p>
            <w:pPr>
              <w:widowControl/>
              <w:jc w:val="center"/>
              <w:rPr>
                <w:rFonts w:hint="eastAsia" w:ascii="宋体" w:hAnsi="宋体"/>
                <w:szCs w:val="21"/>
              </w:rPr>
            </w:pPr>
            <w:r>
              <w:rPr>
                <w:rFonts w:hint="eastAsia" w:ascii="宋体" w:hAnsi="宋体"/>
                <w:szCs w:val="21"/>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67" w:type="pct"/>
            <w:vMerge w:val="continue"/>
            <w:shd w:val="clear" w:color="auto" w:fill="auto"/>
            <w:tcMar>
              <w:top w:w="8" w:type="dxa"/>
              <w:left w:w="8" w:type="dxa"/>
              <w:bottom w:w="0" w:type="dxa"/>
              <w:right w:w="8" w:type="dxa"/>
            </w:tcMar>
            <w:vAlign w:val="center"/>
          </w:tcPr>
          <w:p>
            <w:pPr>
              <w:widowControl/>
              <w:spacing w:before="100" w:beforeAutospacing="1" w:after="100" w:afterAutospacing="1"/>
              <w:jc w:val="center"/>
              <w:rPr>
                <w:rFonts w:hint="eastAsia" w:ascii="宋体" w:hAnsi="宋体" w:cs="宋体"/>
                <w:b/>
                <w:bCs/>
                <w:color w:val="000000"/>
                <w:kern w:val="0"/>
                <w:szCs w:val="21"/>
              </w:rPr>
            </w:pPr>
          </w:p>
        </w:tc>
        <w:tc>
          <w:tcPr>
            <w:tcW w:w="357" w:type="pct"/>
            <w:shd w:val="clear" w:color="auto" w:fill="auto"/>
            <w:tcMar>
              <w:top w:w="8" w:type="dxa"/>
              <w:left w:w="8" w:type="dxa"/>
              <w:bottom w:w="0" w:type="dxa"/>
              <w:right w:w="8" w:type="dxa"/>
            </w:tcMar>
            <w:vAlign w:val="center"/>
          </w:tcPr>
          <w:p>
            <w:pPr>
              <w:widowControl/>
              <w:spacing w:before="100" w:beforeAutospacing="1" w:after="100" w:afterAutospacing="1"/>
              <w:jc w:val="center"/>
              <w:rPr>
                <w:rFonts w:ascii="Times New Roman" w:hAnsi="Times New Roman"/>
                <w:color w:val="000000"/>
                <w:kern w:val="0"/>
                <w:szCs w:val="21"/>
              </w:rPr>
            </w:pPr>
            <w:r>
              <w:rPr>
                <w:rFonts w:hint="eastAsia" w:ascii="Times New Roman" w:hAnsi="Times New Roman"/>
                <w:color w:val="000000"/>
                <w:kern w:val="0"/>
                <w:szCs w:val="21"/>
              </w:rPr>
              <w:t>6</w:t>
            </w:r>
          </w:p>
        </w:tc>
        <w:tc>
          <w:tcPr>
            <w:tcW w:w="1248" w:type="pct"/>
            <w:shd w:val="clear" w:color="auto" w:fill="auto"/>
            <w:tcMar>
              <w:top w:w="8" w:type="dxa"/>
              <w:left w:w="8" w:type="dxa"/>
              <w:bottom w:w="0" w:type="dxa"/>
              <w:right w:w="8" w:type="dxa"/>
            </w:tcMar>
            <w:vAlign w:val="center"/>
          </w:tcPr>
          <w:p>
            <w:pPr>
              <w:widowControl/>
              <w:jc w:val="center"/>
              <w:rPr>
                <w:rFonts w:hint="eastAsia" w:ascii="宋体" w:hAnsi="宋体"/>
                <w:szCs w:val="21"/>
              </w:rPr>
            </w:pPr>
            <w:r>
              <w:rPr>
                <w:rFonts w:hint="eastAsia" w:ascii="宋体" w:hAnsi="宋体"/>
                <w:szCs w:val="21"/>
              </w:rPr>
              <w:t>中百商业街</w:t>
            </w:r>
          </w:p>
        </w:tc>
        <w:tc>
          <w:tcPr>
            <w:tcW w:w="1682" w:type="pct"/>
            <w:shd w:val="clear" w:color="auto" w:fill="auto"/>
            <w:tcMar>
              <w:top w:w="8" w:type="dxa"/>
              <w:left w:w="8" w:type="dxa"/>
              <w:bottom w:w="0" w:type="dxa"/>
              <w:right w:w="8" w:type="dxa"/>
            </w:tcMar>
            <w:vAlign w:val="center"/>
          </w:tcPr>
          <w:p>
            <w:pPr>
              <w:widowControl/>
              <w:rPr>
                <w:rFonts w:hint="eastAsia" w:ascii="宋体" w:hAnsi="宋体"/>
                <w:szCs w:val="21"/>
              </w:rPr>
            </w:pPr>
            <w:r>
              <w:rPr>
                <w:rFonts w:hint="eastAsia" w:ascii="宋体" w:hAnsi="宋体"/>
                <w:szCs w:val="21"/>
              </w:rPr>
              <w:t>府后西街与英雄中路交叉口西北</w:t>
            </w:r>
          </w:p>
        </w:tc>
        <w:tc>
          <w:tcPr>
            <w:tcW w:w="723" w:type="pct"/>
            <w:vAlign w:val="center"/>
          </w:tcPr>
          <w:p>
            <w:pPr>
              <w:widowControl/>
              <w:jc w:val="center"/>
              <w:rPr>
                <w:rFonts w:hint="eastAsia" w:ascii="宋体" w:hAnsi="宋体"/>
                <w:szCs w:val="21"/>
              </w:rPr>
            </w:pPr>
            <w:r>
              <w:rPr>
                <w:rFonts w:hint="eastAsia" w:ascii="宋体" w:hAnsi="宋体"/>
                <w:szCs w:val="21"/>
              </w:rPr>
              <w:t>改造提升</w:t>
            </w:r>
          </w:p>
        </w:tc>
        <w:tc>
          <w:tcPr>
            <w:tcW w:w="723" w:type="pct"/>
            <w:vAlign w:val="center"/>
          </w:tcPr>
          <w:p>
            <w:pPr>
              <w:widowControl/>
              <w:jc w:val="center"/>
              <w:rPr>
                <w:rFonts w:hint="eastAsia" w:ascii="宋体" w:hAnsi="宋体"/>
                <w:szCs w:val="21"/>
              </w:rPr>
            </w:pPr>
            <w:r>
              <w:rPr>
                <w:rFonts w:hint="eastAsia" w:ascii="宋体" w:hAnsi="宋体"/>
                <w:szCs w:val="21"/>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67" w:type="pct"/>
            <w:vMerge w:val="continue"/>
            <w:shd w:val="clear" w:color="auto" w:fill="auto"/>
            <w:tcMar>
              <w:top w:w="8" w:type="dxa"/>
              <w:left w:w="8" w:type="dxa"/>
              <w:bottom w:w="0" w:type="dxa"/>
              <w:right w:w="8" w:type="dxa"/>
            </w:tcMar>
            <w:vAlign w:val="center"/>
          </w:tcPr>
          <w:p>
            <w:pPr>
              <w:widowControl/>
              <w:spacing w:before="100" w:beforeAutospacing="1" w:after="100" w:afterAutospacing="1"/>
              <w:jc w:val="center"/>
              <w:rPr>
                <w:rFonts w:hint="eastAsia" w:ascii="宋体" w:hAnsi="宋体" w:cs="宋体"/>
                <w:b/>
                <w:bCs/>
                <w:color w:val="000000"/>
                <w:kern w:val="0"/>
                <w:szCs w:val="21"/>
              </w:rPr>
            </w:pPr>
          </w:p>
        </w:tc>
        <w:tc>
          <w:tcPr>
            <w:tcW w:w="357" w:type="pct"/>
            <w:shd w:val="clear" w:color="auto" w:fill="auto"/>
            <w:tcMar>
              <w:top w:w="8" w:type="dxa"/>
              <w:left w:w="8" w:type="dxa"/>
              <w:bottom w:w="0" w:type="dxa"/>
              <w:right w:w="8" w:type="dxa"/>
            </w:tcMar>
            <w:vAlign w:val="center"/>
          </w:tcPr>
          <w:p>
            <w:pPr>
              <w:widowControl/>
              <w:spacing w:before="100" w:beforeAutospacing="1" w:after="100" w:afterAutospacing="1"/>
              <w:jc w:val="center"/>
              <w:rPr>
                <w:rFonts w:ascii="Times New Roman" w:hAnsi="Times New Roman"/>
                <w:color w:val="000000"/>
                <w:kern w:val="0"/>
                <w:szCs w:val="21"/>
              </w:rPr>
            </w:pPr>
            <w:r>
              <w:rPr>
                <w:rFonts w:hint="eastAsia" w:ascii="Times New Roman" w:hAnsi="Times New Roman"/>
                <w:color w:val="000000"/>
                <w:kern w:val="0"/>
                <w:szCs w:val="21"/>
              </w:rPr>
              <w:t>7</w:t>
            </w:r>
          </w:p>
        </w:tc>
        <w:tc>
          <w:tcPr>
            <w:tcW w:w="1248" w:type="pct"/>
            <w:shd w:val="clear" w:color="auto" w:fill="auto"/>
            <w:tcMar>
              <w:top w:w="8" w:type="dxa"/>
              <w:left w:w="8" w:type="dxa"/>
              <w:bottom w:w="0" w:type="dxa"/>
              <w:right w:w="8" w:type="dxa"/>
            </w:tcMar>
            <w:vAlign w:val="center"/>
          </w:tcPr>
          <w:p>
            <w:pPr>
              <w:widowControl/>
              <w:jc w:val="center"/>
              <w:rPr>
                <w:rFonts w:hint="eastAsia" w:ascii="宋体" w:hAnsi="宋体"/>
                <w:szCs w:val="21"/>
              </w:rPr>
            </w:pPr>
            <w:r>
              <w:rPr>
                <w:rFonts w:hint="eastAsia" w:ascii="宋体" w:hAnsi="宋体"/>
                <w:szCs w:val="21"/>
              </w:rPr>
              <w:t>里外里商业街</w:t>
            </w:r>
          </w:p>
        </w:tc>
        <w:tc>
          <w:tcPr>
            <w:tcW w:w="1682" w:type="pct"/>
            <w:shd w:val="clear" w:color="auto" w:fill="auto"/>
            <w:tcMar>
              <w:top w:w="8" w:type="dxa"/>
              <w:left w:w="8" w:type="dxa"/>
              <w:bottom w:w="0" w:type="dxa"/>
              <w:right w:w="8" w:type="dxa"/>
            </w:tcMar>
            <w:vAlign w:val="center"/>
          </w:tcPr>
          <w:p>
            <w:pPr>
              <w:widowControl/>
              <w:rPr>
                <w:rFonts w:hint="eastAsia" w:ascii="宋体" w:hAnsi="宋体"/>
                <w:szCs w:val="21"/>
              </w:rPr>
            </w:pPr>
            <w:r>
              <w:rPr>
                <w:rFonts w:hint="eastAsia" w:ascii="宋体" w:hAnsi="宋体"/>
                <w:szCs w:val="21"/>
              </w:rPr>
              <w:t>潞州区府后东街422号</w:t>
            </w:r>
          </w:p>
        </w:tc>
        <w:tc>
          <w:tcPr>
            <w:tcW w:w="723" w:type="pct"/>
            <w:vAlign w:val="center"/>
          </w:tcPr>
          <w:p>
            <w:pPr>
              <w:widowControl/>
              <w:jc w:val="center"/>
              <w:rPr>
                <w:rFonts w:hint="eastAsia" w:ascii="宋体" w:hAnsi="宋体"/>
                <w:szCs w:val="21"/>
              </w:rPr>
            </w:pPr>
            <w:r>
              <w:rPr>
                <w:rFonts w:hint="eastAsia" w:ascii="宋体" w:hAnsi="宋体"/>
                <w:szCs w:val="21"/>
              </w:rPr>
              <w:t>改造提升</w:t>
            </w:r>
          </w:p>
        </w:tc>
        <w:tc>
          <w:tcPr>
            <w:tcW w:w="723" w:type="pct"/>
            <w:vAlign w:val="center"/>
          </w:tcPr>
          <w:p>
            <w:pPr>
              <w:widowControl/>
              <w:jc w:val="center"/>
              <w:rPr>
                <w:rFonts w:hint="eastAsia" w:ascii="宋体" w:hAnsi="宋体"/>
                <w:szCs w:val="21"/>
              </w:rPr>
            </w:pPr>
            <w:r>
              <w:rPr>
                <w:rFonts w:hint="eastAsia" w:ascii="宋体" w:hAnsi="宋体"/>
                <w:szCs w:val="21"/>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67" w:type="pct"/>
            <w:vMerge w:val="continue"/>
            <w:shd w:val="clear" w:color="auto" w:fill="auto"/>
            <w:tcMar>
              <w:top w:w="8" w:type="dxa"/>
              <w:left w:w="8" w:type="dxa"/>
              <w:bottom w:w="0" w:type="dxa"/>
              <w:right w:w="8" w:type="dxa"/>
            </w:tcMar>
            <w:vAlign w:val="center"/>
          </w:tcPr>
          <w:p>
            <w:pPr>
              <w:widowControl/>
              <w:spacing w:before="100" w:beforeAutospacing="1" w:after="100" w:afterAutospacing="1"/>
              <w:jc w:val="center"/>
              <w:rPr>
                <w:rFonts w:hint="eastAsia" w:ascii="宋体" w:hAnsi="宋体" w:cs="宋体"/>
                <w:b/>
                <w:bCs/>
                <w:color w:val="000000"/>
                <w:kern w:val="0"/>
                <w:szCs w:val="21"/>
              </w:rPr>
            </w:pPr>
          </w:p>
        </w:tc>
        <w:tc>
          <w:tcPr>
            <w:tcW w:w="357" w:type="pct"/>
            <w:shd w:val="clear" w:color="auto" w:fill="auto"/>
            <w:tcMar>
              <w:top w:w="8" w:type="dxa"/>
              <w:left w:w="8" w:type="dxa"/>
              <w:bottom w:w="0" w:type="dxa"/>
              <w:right w:w="8" w:type="dxa"/>
            </w:tcMar>
            <w:vAlign w:val="center"/>
          </w:tcPr>
          <w:p>
            <w:pPr>
              <w:widowControl/>
              <w:spacing w:before="100" w:beforeAutospacing="1" w:after="100" w:afterAutospacing="1"/>
              <w:jc w:val="center"/>
              <w:rPr>
                <w:rFonts w:ascii="Times New Roman" w:hAnsi="Times New Roman"/>
                <w:color w:val="000000"/>
                <w:kern w:val="0"/>
                <w:szCs w:val="21"/>
              </w:rPr>
            </w:pPr>
            <w:r>
              <w:rPr>
                <w:rFonts w:hint="eastAsia" w:ascii="Times New Roman" w:hAnsi="Times New Roman"/>
                <w:color w:val="000000"/>
                <w:kern w:val="0"/>
                <w:szCs w:val="21"/>
              </w:rPr>
              <w:t>8</w:t>
            </w:r>
          </w:p>
        </w:tc>
        <w:tc>
          <w:tcPr>
            <w:tcW w:w="1248" w:type="pct"/>
            <w:shd w:val="clear" w:color="auto" w:fill="auto"/>
            <w:tcMar>
              <w:top w:w="8" w:type="dxa"/>
              <w:left w:w="8" w:type="dxa"/>
              <w:bottom w:w="0" w:type="dxa"/>
              <w:right w:w="8" w:type="dxa"/>
            </w:tcMar>
            <w:vAlign w:val="center"/>
          </w:tcPr>
          <w:p>
            <w:pPr>
              <w:widowControl/>
              <w:jc w:val="center"/>
              <w:rPr>
                <w:rFonts w:hint="eastAsia" w:ascii="宋体" w:hAnsi="宋体"/>
                <w:szCs w:val="21"/>
              </w:rPr>
            </w:pPr>
            <w:r>
              <w:rPr>
                <w:rFonts w:hint="eastAsia" w:ascii="宋体" w:hAnsi="宋体"/>
                <w:szCs w:val="21"/>
              </w:rPr>
              <w:t>长治凯旋都汇广场商业街</w:t>
            </w:r>
          </w:p>
        </w:tc>
        <w:tc>
          <w:tcPr>
            <w:tcW w:w="1682" w:type="pct"/>
            <w:shd w:val="clear" w:color="auto" w:fill="auto"/>
            <w:tcMar>
              <w:top w:w="8" w:type="dxa"/>
              <w:left w:w="8" w:type="dxa"/>
              <w:bottom w:w="0" w:type="dxa"/>
              <w:right w:w="8" w:type="dxa"/>
            </w:tcMar>
            <w:vAlign w:val="center"/>
          </w:tcPr>
          <w:p>
            <w:pPr>
              <w:widowControl/>
              <w:rPr>
                <w:rFonts w:hint="eastAsia" w:ascii="宋体" w:hAnsi="宋体"/>
                <w:szCs w:val="21"/>
              </w:rPr>
            </w:pPr>
            <w:r>
              <w:rPr>
                <w:rFonts w:hint="eastAsia" w:ascii="宋体" w:hAnsi="宋体"/>
                <w:szCs w:val="21"/>
              </w:rPr>
              <w:t>潞州区新营街145号</w:t>
            </w:r>
          </w:p>
        </w:tc>
        <w:tc>
          <w:tcPr>
            <w:tcW w:w="723" w:type="pct"/>
            <w:vAlign w:val="center"/>
          </w:tcPr>
          <w:p>
            <w:pPr>
              <w:widowControl/>
              <w:jc w:val="center"/>
              <w:rPr>
                <w:rFonts w:hint="eastAsia" w:ascii="宋体" w:hAnsi="宋体"/>
                <w:szCs w:val="21"/>
              </w:rPr>
            </w:pPr>
            <w:r>
              <w:rPr>
                <w:rFonts w:hint="eastAsia" w:ascii="宋体" w:hAnsi="宋体"/>
                <w:szCs w:val="21"/>
              </w:rPr>
              <w:t>改造提升</w:t>
            </w:r>
          </w:p>
        </w:tc>
        <w:tc>
          <w:tcPr>
            <w:tcW w:w="723" w:type="pct"/>
            <w:vAlign w:val="center"/>
          </w:tcPr>
          <w:p>
            <w:pPr>
              <w:widowControl/>
              <w:jc w:val="center"/>
              <w:rPr>
                <w:rFonts w:hint="eastAsia" w:ascii="宋体" w:hAnsi="宋体"/>
                <w:szCs w:val="21"/>
              </w:rPr>
            </w:pPr>
            <w:r>
              <w:rPr>
                <w:rFonts w:hint="eastAsia" w:ascii="宋体" w:hAnsi="宋体"/>
                <w:szCs w:val="21"/>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67" w:type="pct"/>
            <w:vMerge w:val="continue"/>
            <w:shd w:val="clear" w:color="auto" w:fill="auto"/>
            <w:tcMar>
              <w:top w:w="8" w:type="dxa"/>
              <w:left w:w="8" w:type="dxa"/>
              <w:bottom w:w="0" w:type="dxa"/>
              <w:right w:w="8" w:type="dxa"/>
            </w:tcMar>
            <w:vAlign w:val="center"/>
          </w:tcPr>
          <w:p>
            <w:pPr>
              <w:widowControl/>
              <w:spacing w:before="100" w:beforeAutospacing="1" w:after="100" w:afterAutospacing="1"/>
              <w:jc w:val="center"/>
              <w:rPr>
                <w:rFonts w:hint="eastAsia" w:ascii="宋体" w:hAnsi="宋体" w:cs="宋体"/>
                <w:b/>
                <w:bCs/>
                <w:color w:val="000000"/>
                <w:kern w:val="0"/>
                <w:szCs w:val="21"/>
              </w:rPr>
            </w:pPr>
          </w:p>
        </w:tc>
        <w:tc>
          <w:tcPr>
            <w:tcW w:w="357" w:type="pct"/>
            <w:shd w:val="clear" w:color="auto" w:fill="auto"/>
            <w:tcMar>
              <w:top w:w="8" w:type="dxa"/>
              <w:left w:w="8" w:type="dxa"/>
              <w:bottom w:w="0" w:type="dxa"/>
              <w:right w:w="8" w:type="dxa"/>
            </w:tcMar>
            <w:vAlign w:val="center"/>
          </w:tcPr>
          <w:p>
            <w:pPr>
              <w:widowControl/>
              <w:spacing w:before="100" w:beforeAutospacing="1" w:after="100" w:afterAutospacing="1"/>
              <w:jc w:val="center"/>
              <w:rPr>
                <w:rFonts w:ascii="Times New Roman" w:hAnsi="Times New Roman"/>
                <w:color w:val="000000"/>
                <w:kern w:val="0"/>
                <w:szCs w:val="21"/>
              </w:rPr>
            </w:pPr>
            <w:r>
              <w:rPr>
                <w:rFonts w:hint="eastAsia" w:ascii="Times New Roman" w:hAnsi="Times New Roman"/>
                <w:color w:val="000000"/>
                <w:kern w:val="0"/>
                <w:szCs w:val="21"/>
              </w:rPr>
              <w:t>9</w:t>
            </w:r>
          </w:p>
        </w:tc>
        <w:tc>
          <w:tcPr>
            <w:tcW w:w="1248" w:type="pct"/>
            <w:shd w:val="clear" w:color="auto" w:fill="auto"/>
            <w:tcMar>
              <w:top w:w="8" w:type="dxa"/>
              <w:left w:w="8" w:type="dxa"/>
              <w:bottom w:w="0" w:type="dxa"/>
              <w:right w:w="8" w:type="dxa"/>
            </w:tcMar>
            <w:vAlign w:val="center"/>
          </w:tcPr>
          <w:p>
            <w:pPr>
              <w:widowControl/>
              <w:jc w:val="center"/>
              <w:rPr>
                <w:rFonts w:hint="eastAsia" w:ascii="宋体" w:hAnsi="宋体"/>
                <w:szCs w:val="21"/>
              </w:rPr>
            </w:pPr>
            <w:r>
              <w:rPr>
                <w:rFonts w:hint="eastAsia" w:ascii="宋体" w:hAnsi="宋体"/>
                <w:szCs w:val="21"/>
              </w:rPr>
              <w:t>天空之城文化创意园</w:t>
            </w:r>
          </w:p>
        </w:tc>
        <w:tc>
          <w:tcPr>
            <w:tcW w:w="1682" w:type="pct"/>
            <w:shd w:val="clear" w:color="auto" w:fill="auto"/>
            <w:tcMar>
              <w:top w:w="8" w:type="dxa"/>
              <w:left w:w="8" w:type="dxa"/>
              <w:bottom w:w="0" w:type="dxa"/>
              <w:right w:w="8" w:type="dxa"/>
            </w:tcMar>
            <w:vAlign w:val="center"/>
          </w:tcPr>
          <w:p>
            <w:pPr>
              <w:widowControl/>
              <w:rPr>
                <w:rFonts w:hint="eastAsia" w:ascii="宋体" w:hAnsi="宋体"/>
                <w:szCs w:val="21"/>
              </w:rPr>
            </w:pPr>
            <w:r>
              <w:rPr>
                <w:rFonts w:hint="eastAsia" w:ascii="宋体" w:hAnsi="宋体"/>
                <w:szCs w:val="21"/>
              </w:rPr>
              <w:t>太行东路2号</w:t>
            </w:r>
          </w:p>
        </w:tc>
        <w:tc>
          <w:tcPr>
            <w:tcW w:w="723" w:type="pct"/>
            <w:vAlign w:val="center"/>
          </w:tcPr>
          <w:p>
            <w:pPr>
              <w:widowControl/>
              <w:jc w:val="center"/>
              <w:rPr>
                <w:rFonts w:hint="eastAsia" w:ascii="宋体" w:hAnsi="宋体"/>
                <w:szCs w:val="21"/>
              </w:rPr>
            </w:pPr>
            <w:r>
              <w:rPr>
                <w:rFonts w:hint="eastAsia" w:ascii="宋体" w:hAnsi="宋体"/>
                <w:szCs w:val="21"/>
              </w:rPr>
              <w:t>改造提升</w:t>
            </w:r>
          </w:p>
        </w:tc>
        <w:tc>
          <w:tcPr>
            <w:tcW w:w="723" w:type="pct"/>
            <w:vAlign w:val="center"/>
          </w:tcPr>
          <w:p>
            <w:pPr>
              <w:widowControl/>
              <w:jc w:val="center"/>
              <w:rPr>
                <w:rFonts w:hint="eastAsia" w:ascii="宋体" w:hAnsi="宋体"/>
                <w:szCs w:val="21"/>
              </w:rPr>
            </w:pPr>
            <w:r>
              <w:rPr>
                <w:rFonts w:hint="eastAsia" w:ascii="宋体" w:hAnsi="宋体"/>
                <w:szCs w:val="21"/>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67" w:type="pct"/>
            <w:vMerge w:val="continue"/>
            <w:shd w:val="clear" w:color="auto" w:fill="auto"/>
            <w:tcMar>
              <w:top w:w="8" w:type="dxa"/>
              <w:left w:w="8" w:type="dxa"/>
              <w:bottom w:w="0" w:type="dxa"/>
              <w:right w:w="8" w:type="dxa"/>
            </w:tcMar>
            <w:vAlign w:val="center"/>
          </w:tcPr>
          <w:p>
            <w:pPr>
              <w:widowControl/>
              <w:spacing w:before="100" w:beforeAutospacing="1" w:after="100" w:afterAutospacing="1"/>
              <w:jc w:val="center"/>
              <w:rPr>
                <w:rFonts w:hint="eastAsia" w:ascii="宋体" w:hAnsi="宋体" w:cs="宋体"/>
                <w:b/>
                <w:bCs/>
                <w:color w:val="000000"/>
                <w:kern w:val="0"/>
                <w:szCs w:val="21"/>
              </w:rPr>
            </w:pPr>
          </w:p>
        </w:tc>
        <w:tc>
          <w:tcPr>
            <w:tcW w:w="357" w:type="pct"/>
            <w:shd w:val="clear" w:color="auto" w:fill="auto"/>
            <w:tcMar>
              <w:top w:w="8" w:type="dxa"/>
              <w:left w:w="8" w:type="dxa"/>
              <w:bottom w:w="0" w:type="dxa"/>
              <w:right w:w="8" w:type="dxa"/>
            </w:tcMar>
            <w:vAlign w:val="center"/>
          </w:tcPr>
          <w:p>
            <w:pPr>
              <w:widowControl/>
              <w:spacing w:before="100" w:beforeAutospacing="1" w:after="100" w:afterAutospacing="1"/>
              <w:jc w:val="center"/>
              <w:rPr>
                <w:rFonts w:ascii="Times New Roman" w:hAnsi="Times New Roman"/>
                <w:color w:val="000000"/>
                <w:kern w:val="0"/>
                <w:szCs w:val="21"/>
              </w:rPr>
            </w:pPr>
            <w:r>
              <w:rPr>
                <w:rFonts w:hint="eastAsia" w:ascii="Times New Roman" w:hAnsi="Times New Roman"/>
                <w:color w:val="000000"/>
                <w:kern w:val="0"/>
                <w:szCs w:val="21"/>
              </w:rPr>
              <w:t>10</w:t>
            </w:r>
          </w:p>
        </w:tc>
        <w:tc>
          <w:tcPr>
            <w:tcW w:w="1248" w:type="pct"/>
            <w:shd w:val="clear" w:color="auto" w:fill="auto"/>
            <w:tcMar>
              <w:top w:w="8" w:type="dxa"/>
              <w:left w:w="8" w:type="dxa"/>
              <w:bottom w:w="0" w:type="dxa"/>
              <w:right w:w="8" w:type="dxa"/>
            </w:tcMar>
            <w:vAlign w:val="center"/>
          </w:tcPr>
          <w:p>
            <w:pPr>
              <w:widowControl/>
              <w:jc w:val="center"/>
              <w:rPr>
                <w:rFonts w:hint="eastAsia" w:ascii="宋体" w:hAnsi="宋体"/>
                <w:szCs w:val="21"/>
              </w:rPr>
            </w:pPr>
            <w:r>
              <w:rPr>
                <w:rFonts w:hint="eastAsia" w:ascii="宋体" w:hAnsi="宋体"/>
                <w:szCs w:val="21"/>
              </w:rPr>
              <w:t>春草生活广场</w:t>
            </w:r>
          </w:p>
        </w:tc>
        <w:tc>
          <w:tcPr>
            <w:tcW w:w="1682" w:type="pct"/>
            <w:shd w:val="clear" w:color="auto" w:fill="auto"/>
            <w:tcMar>
              <w:top w:w="8" w:type="dxa"/>
              <w:left w:w="8" w:type="dxa"/>
              <w:bottom w:w="0" w:type="dxa"/>
              <w:right w:w="8" w:type="dxa"/>
            </w:tcMar>
            <w:vAlign w:val="center"/>
          </w:tcPr>
          <w:p>
            <w:pPr>
              <w:widowControl/>
              <w:rPr>
                <w:rFonts w:hint="eastAsia" w:ascii="宋体" w:hAnsi="宋体"/>
                <w:szCs w:val="21"/>
              </w:rPr>
            </w:pPr>
            <w:r>
              <w:rPr>
                <w:rFonts w:hint="eastAsia" w:ascii="宋体" w:hAnsi="宋体"/>
                <w:szCs w:val="21"/>
              </w:rPr>
              <w:t>市场路与钢城大街交叉口西北</w:t>
            </w:r>
          </w:p>
        </w:tc>
        <w:tc>
          <w:tcPr>
            <w:tcW w:w="723" w:type="pct"/>
            <w:vAlign w:val="center"/>
          </w:tcPr>
          <w:p>
            <w:pPr>
              <w:widowControl/>
              <w:jc w:val="center"/>
              <w:rPr>
                <w:rFonts w:hint="eastAsia" w:ascii="宋体" w:hAnsi="宋体"/>
                <w:szCs w:val="21"/>
              </w:rPr>
            </w:pPr>
            <w:r>
              <w:rPr>
                <w:rFonts w:hint="eastAsia" w:ascii="宋体" w:hAnsi="宋体"/>
                <w:szCs w:val="21"/>
              </w:rPr>
              <w:t>改造提升</w:t>
            </w:r>
          </w:p>
        </w:tc>
        <w:tc>
          <w:tcPr>
            <w:tcW w:w="723" w:type="pct"/>
            <w:vAlign w:val="center"/>
          </w:tcPr>
          <w:p>
            <w:pPr>
              <w:widowControl/>
              <w:jc w:val="center"/>
              <w:rPr>
                <w:rFonts w:hint="eastAsia" w:ascii="宋体" w:hAnsi="宋体"/>
                <w:szCs w:val="21"/>
              </w:rPr>
            </w:pPr>
            <w:r>
              <w:rPr>
                <w:rFonts w:hint="eastAsia" w:ascii="宋体" w:hAnsi="宋体"/>
                <w:szCs w:val="21"/>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67" w:type="pct"/>
            <w:vMerge w:val="continue"/>
            <w:shd w:val="clear" w:color="auto" w:fill="auto"/>
            <w:tcMar>
              <w:top w:w="8" w:type="dxa"/>
              <w:left w:w="8" w:type="dxa"/>
              <w:bottom w:w="0" w:type="dxa"/>
              <w:right w:w="8" w:type="dxa"/>
            </w:tcMar>
            <w:vAlign w:val="center"/>
          </w:tcPr>
          <w:p>
            <w:pPr>
              <w:widowControl/>
              <w:spacing w:before="100" w:beforeAutospacing="1" w:after="100" w:afterAutospacing="1"/>
              <w:jc w:val="center"/>
              <w:rPr>
                <w:rFonts w:hint="eastAsia" w:ascii="宋体" w:hAnsi="宋体" w:cs="宋体"/>
                <w:b/>
                <w:bCs/>
                <w:color w:val="000000"/>
                <w:kern w:val="0"/>
                <w:szCs w:val="21"/>
              </w:rPr>
            </w:pPr>
          </w:p>
        </w:tc>
        <w:tc>
          <w:tcPr>
            <w:tcW w:w="357" w:type="pct"/>
            <w:shd w:val="clear" w:color="auto" w:fill="auto"/>
            <w:tcMar>
              <w:top w:w="8" w:type="dxa"/>
              <w:left w:w="8" w:type="dxa"/>
              <w:bottom w:w="0" w:type="dxa"/>
              <w:right w:w="8" w:type="dxa"/>
            </w:tcMar>
            <w:vAlign w:val="center"/>
          </w:tcPr>
          <w:p>
            <w:pPr>
              <w:widowControl/>
              <w:spacing w:before="100" w:beforeAutospacing="1" w:after="100" w:afterAutospacing="1"/>
              <w:jc w:val="center"/>
              <w:rPr>
                <w:rFonts w:ascii="Times New Roman" w:hAnsi="Times New Roman"/>
                <w:color w:val="000000"/>
                <w:kern w:val="0"/>
                <w:szCs w:val="21"/>
              </w:rPr>
            </w:pPr>
            <w:r>
              <w:rPr>
                <w:rFonts w:hint="eastAsia" w:ascii="Times New Roman" w:hAnsi="Times New Roman"/>
                <w:color w:val="000000"/>
                <w:kern w:val="0"/>
                <w:szCs w:val="21"/>
              </w:rPr>
              <w:t>11</w:t>
            </w:r>
          </w:p>
        </w:tc>
        <w:tc>
          <w:tcPr>
            <w:tcW w:w="1248" w:type="pct"/>
            <w:shd w:val="clear" w:color="auto" w:fill="auto"/>
            <w:tcMar>
              <w:top w:w="8" w:type="dxa"/>
              <w:left w:w="8" w:type="dxa"/>
              <w:bottom w:w="0" w:type="dxa"/>
              <w:right w:w="8" w:type="dxa"/>
            </w:tcMar>
            <w:vAlign w:val="center"/>
          </w:tcPr>
          <w:p>
            <w:pPr>
              <w:widowControl/>
              <w:jc w:val="center"/>
              <w:rPr>
                <w:rFonts w:hint="eastAsia" w:ascii="宋体" w:hAnsi="宋体"/>
                <w:szCs w:val="21"/>
              </w:rPr>
            </w:pPr>
            <w:r>
              <w:rPr>
                <w:rFonts w:hint="eastAsia" w:ascii="宋体" w:hAnsi="宋体"/>
                <w:szCs w:val="21"/>
              </w:rPr>
              <w:t>甜水巷美食街</w:t>
            </w:r>
          </w:p>
        </w:tc>
        <w:tc>
          <w:tcPr>
            <w:tcW w:w="1682" w:type="pct"/>
            <w:shd w:val="clear" w:color="auto" w:fill="auto"/>
            <w:tcMar>
              <w:top w:w="8" w:type="dxa"/>
              <w:left w:w="8" w:type="dxa"/>
              <w:bottom w:w="0" w:type="dxa"/>
              <w:right w:w="8" w:type="dxa"/>
            </w:tcMar>
            <w:vAlign w:val="center"/>
          </w:tcPr>
          <w:p>
            <w:pPr>
              <w:widowControl/>
              <w:rPr>
                <w:rFonts w:hint="eastAsia" w:ascii="宋体" w:hAnsi="宋体"/>
                <w:szCs w:val="21"/>
              </w:rPr>
            </w:pPr>
            <w:r>
              <w:rPr>
                <w:rFonts w:hint="eastAsia" w:ascii="宋体" w:hAnsi="宋体"/>
                <w:szCs w:val="21"/>
              </w:rPr>
              <w:t>甜水巷，延安南路与潞阳门南路之间</w:t>
            </w:r>
          </w:p>
        </w:tc>
        <w:tc>
          <w:tcPr>
            <w:tcW w:w="723" w:type="pct"/>
            <w:vAlign w:val="center"/>
          </w:tcPr>
          <w:p>
            <w:pPr>
              <w:widowControl/>
              <w:jc w:val="center"/>
              <w:rPr>
                <w:rFonts w:hint="eastAsia" w:ascii="宋体" w:hAnsi="宋体"/>
                <w:szCs w:val="21"/>
              </w:rPr>
            </w:pPr>
            <w:r>
              <w:rPr>
                <w:rFonts w:hint="eastAsia" w:ascii="宋体" w:hAnsi="宋体"/>
                <w:szCs w:val="21"/>
              </w:rPr>
              <w:t>改造提升</w:t>
            </w:r>
          </w:p>
        </w:tc>
        <w:tc>
          <w:tcPr>
            <w:tcW w:w="723" w:type="pct"/>
            <w:vAlign w:val="center"/>
          </w:tcPr>
          <w:p>
            <w:pPr>
              <w:widowControl/>
              <w:jc w:val="center"/>
              <w:rPr>
                <w:rFonts w:hint="eastAsia" w:ascii="宋体" w:hAnsi="宋体"/>
                <w:szCs w:val="21"/>
              </w:rPr>
            </w:pPr>
            <w:r>
              <w:rPr>
                <w:rFonts w:hint="eastAsia" w:ascii="宋体" w:hAnsi="宋体"/>
                <w:szCs w:val="21"/>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67" w:type="pct"/>
            <w:vMerge w:val="continue"/>
            <w:shd w:val="clear" w:color="auto" w:fill="auto"/>
            <w:tcMar>
              <w:top w:w="8" w:type="dxa"/>
              <w:left w:w="8" w:type="dxa"/>
              <w:bottom w:w="0" w:type="dxa"/>
              <w:right w:w="8" w:type="dxa"/>
            </w:tcMar>
            <w:vAlign w:val="center"/>
          </w:tcPr>
          <w:p>
            <w:pPr>
              <w:widowControl/>
              <w:spacing w:before="100" w:beforeAutospacing="1" w:after="100" w:afterAutospacing="1"/>
              <w:jc w:val="center"/>
              <w:rPr>
                <w:rFonts w:hint="eastAsia" w:ascii="宋体" w:hAnsi="宋体" w:cs="宋体"/>
                <w:b/>
                <w:bCs/>
                <w:color w:val="000000"/>
                <w:kern w:val="0"/>
                <w:szCs w:val="21"/>
              </w:rPr>
            </w:pPr>
          </w:p>
        </w:tc>
        <w:tc>
          <w:tcPr>
            <w:tcW w:w="357" w:type="pct"/>
            <w:shd w:val="clear" w:color="auto" w:fill="auto"/>
            <w:tcMar>
              <w:top w:w="8" w:type="dxa"/>
              <w:left w:w="8" w:type="dxa"/>
              <w:bottom w:w="0" w:type="dxa"/>
              <w:right w:w="8" w:type="dxa"/>
            </w:tcMar>
            <w:vAlign w:val="center"/>
          </w:tcPr>
          <w:p>
            <w:pPr>
              <w:widowControl/>
              <w:spacing w:before="100" w:beforeAutospacing="1" w:after="100" w:afterAutospacing="1"/>
              <w:jc w:val="center"/>
              <w:rPr>
                <w:rFonts w:ascii="Times New Roman" w:hAnsi="Times New Roman"/>
                <w:color w:val="000000"/>
                <w:kern w:val="0"/>
                <w:szCs w:val="21"/>
              </w:rPr>
            </w:pPr>
            <w:r>
              <w:rPr>
                <w:rFonts w:hint="eastAsia" w:ascii="Times New Roman" w:hAnsi="Times New Roman"/>
                <w:color w:val="000000"/>
                <w:kern w:val="0"/>
                <w:szCs w:val="21"/>
              </w:rPr>
              <w:t>12</w:t>
            </w:r>
          </w:p>
        </w:tc>
        <w:tc>
          <w:tcPr>
            <w:tcW w:w="1248" w:type="pct"/>
            <w:shd w:val="clear" w:color="auto" w:fill="auto"/>
            <w:tcMar>
              <w:top w:w="8" w:type="dxa"/>
              <w:left w:w="8" w:type="dxa"/>
              <w:bottom w:w="0" w:type="dxa"/>
              <w:right w:w="8" w:type="dxa"/>
            </w:tcMar>
            <w:vAlign w:val="center"/>
          </w:tcPr>
          <w:p>
            <w:pPr>
              <w:widowControl/>
              <w:jc w:val="center"/>
              <w:rPr>
                <w:rFonts w:hint="eastAsia" w:ascii="宋体" w:hAnsi="宋体"/>
                <w:szCs w:val="21"/>
              </w:rPr>
            </w:pPr>
            <w:r>
              <w:rPr>
                <w:rFonts w:hint="eastAsia" w:ascii="宋体" w:hAnsi="宋体"/>
                <w:szCs w:val="21"/>
              </w:rPr>
              <w:t>鹿街美食汇</w:t>
            </w:r>
          </w:p>
        </w:tc>
        <w:tc>
          <w:tcPr>
            <w:tcW w:w="1682" w:type="pct"/>
            <w:shd w:val="clear" w:color="auto" w:fill="auto"/>
            <w:tcMar>
              <w:top w:w="8" w:type="dxa"/>
              <w:left w:w="8" w:type="dxa"/>
              <w:bottom w:w="0" w:type="dxa"/>
              <w:right w:w="8" w:type="dxa"/>
            </w:tcMar>
            <w:vAlign w:val="center"/>
          </w:tcPr>
          <w:p>
            <w:pPr>
              <w:widowControl/>
              <w:rPr>
                <w:rFonts w:hint="eastAsia" w:ascii="宋体" w:hAnsi="宋体"/>
                <w:szCs w:val="21"/>
              </w:rPr>
            </w:pPr>
            <w:r>
              <w:rPr>
                <w:rFonts w:hint="eastAsia" w:ascii="宋体" w:hAnsi="宋体"/>
                <w:szCs w:val="21"/>
              </w:rPr>
              <w:t>北二环路，英雄北路与北二环路西南角</w:t>
            </w:r>
          </w:p>
        </w:tc>
        <w:tc>
          <w:tcPr>
            <w:tcW w:w="723" w:type="pct"/>
            <w:vAlign w:val="center"/>
          </w:tcPr>
          <w:p>
            <w:pPr>
              <w:widowControl/>
              <w:jc w:val="center"/>
              <w:rPr>
                <w:rFonts w:hint="eastAsia" w:ascii="宋体" w:hAnsi="宋体"/>
                <w:szCs w:val="21"/>
              </w:rPr>
            </w:pPr>
            <w:r>
              <w:rPr>
                <w:rFonts w:hint="eastAsia" w:ascii="宋体" w:hAnsi="宋体"/>
                <w:szCs w:val="21"/>
              </w:rPr>
              <w:t>改造提升</w:t>
            </w:r>
          </w:p>
        </w:tc>
        <w:tc>
          <w:tcPr>
            <w:tcW w:w="723" w:type="pct"/>
            <w:vAlign w:val="center"/>
          </w:tcPr>
          <w:p>
            <w:pPr>
              <w:widowControl/>
              <w:jc w:val="center"/>
              <w:rPr>
                <w:rFonts w:hint="eastAsia" w:ascii="宋体" w:hAnsi="宋体"/>
                <w:szCs w:val="21"/>
              </w:rPr>
            </w:pPr>
            <w:r>
              <w:rPr>
                <w:rFonts w:hint="eastAsia" w:ascii="宋体" w:hAnsi="宋体"/>
                <w:szCs w:val="21"/>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67" w:type="pct"/>
            <w:vMerge w:val="continue"/>
            <w:shd w:val="clear" w:color="auto" w:fill="auto"/>
            <w:tcMar>
              <w:top w:w="8" w:type="dxa"/>
              <w:left w:w="8" w:type="dxa"/>
              <w:bottom w:w="0" w:type="dxa"/>
              <w:right w:w="8" w:type="dxa"/>
            </w:tcMar>
            <w:vAlign w:val="center"/>
          </w:tcPr>
          <w:p>
            <w:pPr>
              <w:widowControl/>
              <w:spacing w:before="100" w:beforeAutospacing="1" w:after="100" w:afterAutospacing="1"/>
              <w:jc w:val="center"/>
              <w:rPr>
                <w:rFonts w:hint="eastAsia" w:ascii="宋体" w:hAnsi="宋体" w:cs="宋体"/>
                <w:b/>
                <w:bCs/>
                <w:color w:val="000000"/>
                <w:kern w:val="0"/>
                <w:szCs w:val="21"/>
              </w:rPr>
            </w:pPr>
          </w:p>
        </w:tc>
        <w:tc>
          <w:tcPr>
            <w:tcW w:w="357" w:type="pct"/>
            <w:shd w:val="clear" w:color="auto" w:fill="auto"/>
            <w:tcMar>
              <w:top w:w="8" w:type="dxa"/>
              <w:left w:w="8" w:type="dxa"/>
              <w:bottom w:w="0" w:type="dxa"/>
              <w:right w:w="8" w:type="dxa"/>
            </w:tcMar>
            <w:vAlign w:val="center"/>
          </w:tcPr>
          <w:p>
            <w:pPr>
              <w:widowControl/>
              <w:spacing w:before="100" w:beforeAutospacing="1" w:after="100" w:afterAutospacing="1"/>
              <w:jc w:val="center"/>
              <w:rPr>
                <w:rFonts w:ascii="Times New Roman" w:hAnsi="Times New Roman"/>
                <w:color w:val="000000"/>
                <w:kern w:val="0"/>
                <w:szCs w:val="21"/>
              </w:rPr>
            </w:pPr>
            <w:r>
              <w:rPr>
                <w:rFonts w:hint="eastAsia" w:ascii="Times New Roman" w:hAnsi="Times New Roman"/>
                <w:color w:val="000000"/>
                <w:kern w:val="0"/>
                <w:szCs w:val="21"/>
              </w:rPr>
              <w:t>13</w:t>
            </w:r>
          </w:p>
        </w:tc>
        <w:tc>
          <w:tcPr>
            <w:tcW w:w="1248" w:type="pct"/>
            <w:shd w:val="clear" w:color="auto" w:fill="auto"/>
            <w:tcMar>
              <w:top w:w="8" w:type="dxa"/>
              <w:left w:w="8" w:type="dxa"/>
              <w:bottom w:w="0" w:type="dxa"/>
              <w:right w:w="8" w:type="dxa"/>
            </w:tcMar>
            <w:vAlign w:val="center"/>
          </w:tcPr>
          <w:p>
            <w:pPr>
              <w:widowControl/>
              <w:jc w:val="center"/>
              <w:rPr>
                <w:rFonts w:hint="eastAsia" w:ascii="宋体" w:hAnsi="宋体"/>
                <w:szCs w:val="21"/>
              </w:rPr>
            </w:pPr>
            <w:r>
              <w:rPr>
                <w:rFonts w:hint="eastAsia" w:ascii="宋体" w:hAnsi="宋体"/>
                <w:szCs w:val="21"/>
              </w:rPr>
              <w:t>观音堂文化特色商业街</w:t>
            </w:r>
          </w:p>
        </w:tc>
        <w:tc>
          <w:tcPr>
            <w:tcW w:w="1682" w:type="pct"/>
            <w:shd w:val="clear" w:color="auto" w:fill="auto"/>
            <w:tcMar>
              <w:top w:w="8" w:type="dxa"/>
              <w:left w:w="8" w:type="dxa"/>
              <w:bottom w:w="0" w:type="dxa"/>
              <w:right w:w="8" w:type="dxa"/>
            </w:tcMar>
            <w:vAlign w:val="center"/>
          </w:tcPr>
          <w:p>
            <w:pPr>
              <w:widowControl/>
              <w:rPr>
                <w:rFonts w:hint="eastAsia" w:ascii="宋体" w:hAnsi="宋体"/>
                <w:szCs w:val="21"/>
              </w:rPr>
            </w:pPr>
            <w:r>
              <w:rPr>
                <w:rFonts w:hint="eastAsia" w:ascii="宋体" w:hAnsi="宋体"/>
                <w:szCs w:val="21"/>
              </w:rPr>
              <w:t>观音堂西至西二环</w:t>
            </w:r>
          </w:p>
        </w:tc>
        <w:tc>
          <w:tcPr>
            <w:tcW w:w="723" w:type="pct"/>
            <w:vAlign w:val="center"/>
          </w:tcPr>
          <w:p>
            <w:pPr>
              <w:widowControl/>
              <w:jc w:val="center"/>
              <w:rPr>
                <w:rFonts w:hint="eastAsia" w:ascii="宋体" w:hAnsi="宋体"/>
                <w:szCs w:val="21"/>
              </w:rPr>
            </w:pPr>
            <w:r>
              <w:rPr>
                <w:rFonts w:hint="eastAsia" w:ascii="宋体" w:hAnsi="宋体"/>
                <w:szCs w:val="21"/>
              </w:rPr>
              <w:t>新建</w:t>
            </w:r>
          </w:p>
        </w:tc>
        <w:tc>
          <w:tcPr>
            <w:tcW w:w="723" w:type="pct"/>
            <w:vAlign w:val="center"/>
          </w:tcPr>
          <w:p>
            <w:pPr>
              <w:widowControl/>
              <w:jc w:val="center"/>
              <w:rPr>
                <w:rFonts w:hint="eastAsia" w:ascii="宋体" w:hAnsi="宋体"/>
                <w:szCs w:val="21"/>
              </w:rPr>
            </w:pPr>
            <w:r>
              <w:rPr>
                <w:rFonts w:hint="eastAsia" w:ascii="宋体" w:hAnsi="宋体"/>
                <w:szCs w:val="21"/>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67" w:type="pct"/>
            <w:vMerge w:val="continue"/>
            <w:shd w:val="clear" w:color="auto" w:fill="auto"/>
            <w:tcMar>
              <w:top w:w="8" w:type="dxa"/>
              <w:left w:w="8" w:type="dxa"/>
              <w:bottom w:w="0" w:type="dxa"/>
              <w:right w:w="8" w:type="dxa"/>
            </w:tcMar>
            <w:vAlign w:val="center"/>
          </w:tcPr>
          <w:p>
            <w:pPr>
              <w:widowControl/>
              <w:spacing w:before="100" w:beforeAutospacing="1" w:after="100" w:afterAutospacing="1"/>
              <w:jc w:val="center"/>
              <w:rPr>
                <w:rFonts w:hint="eastAsia" w:ascii="宋体" w:hAnsi="宋体" w:cs="宋体"/>
                <w:b/>
                <w:bCs/>
                <w:color w:val="000000"/>
                <w:kern w:val="0"/>
                <w:szCs w:val="21"/>
              </w:rPr>
            </w:pPr>
          </w:p>
        </w:tc>
        <w:tc>
          <w:tcPr>
            <w:tcW w:w="357" w:type="pct"/>
            <w:shd w:val="clear" w:color="auto" w:fill="auto"/>
            <w:tcMar>
              <w:top w:w="8" w:type="dxa"/>
              <w:left w:w="8" w:type="dxa"/>
              <w:bottom w:w="0" w:type="dxa"/>
              <w:right w:w="8" w:type="dxa"/>
            </w:tcMar>
            <w:vAlign w:val="center"/>
          </w:tcPr>
          <w:p>
            <w:pPr>
              <w:widowControl/>
              <w:spacing w:before="100" w:beforeAutospacing="1" w:after="100" w:afterAutospacing="1"/>
              <w:jc w:val="center"/>
              <w:rPr>
                <w:rFonts w:ascii="Times New Roman" w:hAnsi="Times New Roman"/>
                <w:color w:val="000000"/>
                <w:kern w:val="0"/>
                <w:szCs w:val="21"/>
              </w:rPr>
            </w:pPr>
            <w:r>
              <w:rPr>
                <w:rFonts w:hint="eastAsia" w:ascii="Times New Roman" w:hAnsi="Times New Roman"/>
                <w:color w:val="000000"/>
                <w:kern w:val="0"/>
                <w:szCs w:val="21"/>
              </w:rPr>
              <w:t>14</w:t>
            </w:r>
          </w:p>
        </w:tc>
        <w:tc>
          <w:tcPr>
            <w:tcW w:w="1248" w:type="pct"/>
            <w:shd w:val="clear" w:color="auto" w:fill="auto"/>
            <w:tcMar>
              <w:top w:w="8" w:type="dxa"/>
              <w:left w:w="8" w:type="dxa"/>
              <w:bottom w:w="0" w:type="dxa"/>
              <w:right w:w="8" w:type="dxa"/>
            </w:tcMar>
            <w:vAlign w:val="center"/>
          </w:tcPr>
          <w:p>
            <w:pPr>
              <w:widowControl/>
              <w:jc w:val="center"/>
              <w:rPr>
                <w:rFonts w:hint="eastAsia" w:ascii="宋体" w:hAnsi="宋体"/>
                <w:szCs w:val="21"/>
              </w:rPr>
            </w:pPr>
            <w:r>
              <w:rPr>
                <w:rFonts w:hint="eastAsia" w:ascii="宋体" w:hAnsi="宋体"/>
                <w:szCs w:val="21"/>
              </w:rPr>
              <w:t>松树街</w:t>
            </w:r>
          </w:p>
        </w:tc>
        <w:tc>
          <w:tcPr>
            <w:tcW w:w="1682" w:type="pct"/>
            <w:shd w:val="clear" w:color="auto" w:fill="auto"/>
            <w:tcMar>
              <w:top w:w="8" w:type="dxa"/>
              <w:left w:w="8" w:type="dxa"/>
              <w:bottom w:w="0" w:type="dxa"/>
              <w:right w:w="8" w:type="dxa"/>
            </w:tcMar>
            <w:vAlign w:val="center"/>
          </w:tcPr>
          <w:p>
            <w:pPr>
              <w:widowControl/>
              <w:rPr>
                <w:rFonts w:hint="eastAsia" w:ascii="宋体" w:hAnsi="宋体"/>
                <w:szCs w:val="21"/>
              </w:rPr>
            </w:pPr>
            <w:r>
              <w:rPr>
                <w:rFonts w:hint="eastAsia" w:ascii="宋体" w:hAnsi="宋体"/>
                <w:szCs w:val="21"/>
              </w:rPr>
              <w:t>松树街，云步街与紫金东街中间</w:t>
            </w:r>
          </w:p>
        </w:tc>
        <w:tc>
          <w:tcPr>
            <w:tcW w:w="723" w:type="pct"/>
            <w:vAlign w:val="center"/>
          </w:tcPr>
          <w:p>
            <w:pPr>
              <w:widowControl/>
              <w:jc w:val="center"/>
              <w:rPr>
                <w:rFonts w:hint="eastAsia" w:ascii="宋体" w:hAnsi="宋体"/>
                <w:szCs w:val="21"/>
              </w:rPr>
            </w:pPr>
            <w:r>
              <w:rPr>
                <w:rFonts w:hint="eastAsia" w:ascii="宋体" w:hAnsi="宋体"/>
                <w:szCs w:val="21"/>
              </w:rPr>
              <w:t>新建</w:t>
            </w:r>
          </w:p>
        </w:tc>
        <w:tc>
          <w:tcPr>
            <w:tcW w:w="723" w:type="pct"/>
            <w:vAlign w:val="center"/>
          </w:tcPr>
          <w:p>
            <w:pPr>
              <w:widowControl/>
              <w:jc w:val="center"/>
              <w:rPr>
                <w:rFonts w:hint="eastAsia" w:ascii="宋体" w:hAnsi="宋体"/>
                <w:szCs w:val="21"/>
              </w:rPr>
            </w:pPr>
            <w:r>
              <w:rPr>
                <w:rFonts w:hint="eastAsia" w:ascii="宋体" w:hAnsi="宋体"/>
                <w:szCs w:val="21"/>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67" w:type="pct"/>
            <w:vMerge w:val="continue"/>
            <w:shd w:val="clear" w:color="auto" w:fill="auto"/>
            <w:vAlign w:val="center"/>
          </w:tcPr>
          <w:p>
            <w:pPr>
              <w:widowControl/>
              <w:jc w:val="center"/>
              <w:rPr>
                <w:rFonts w:hint="eastAsia" w:ascii="宋体" w:hAnsi="宋体" w:cs="宋体"/>
                <w:kern w:val="0"/>
                <w:szCs w:val="21"/>
              </w:rPr>
            </w:pPr>
          </w:p>
        </w:tc>
        <w:tc>
          <w:tcPr>
            <w:tcW w:w="357" w:type="pct"/>
            <w:shd w:val="clear" w:color="auto" w:fill="auto"/>
            <w:tcMar>
              <w:top w:w="8" w:type="dxa"/>
              <w:left w:w="8" w:type="dxa"/>
              <w:bottom w:w="0" w:type="dxa"/>
              <w:right w:w="8" w:type="dxa"/>
            </w:tcMar>
            <w:vAlign w:val="center"/>
          </w:tcPr>
          <w:p>
            <w:pPr>
              <w:widowControl/>
              <w:spacing w:before="100" w:beforeAutospacing="1" w:after="100" w:afterAutospacing="1"/>
              <w:jc w:val="center"/>
              <w:rPr>
                <w:rFonts w:ascii="Times New Roman" w:hAnsi="Times New Roman"/>
                <w:kern w:val="0"/>
                <w:szCs w:val="21"/>
              </w:rPr>
            </w:pPr>
            <w:r>
              <w:rPr>
                <w:rFonts w:hint="eastAsia" w:ascii="Times New Roman" w:hAnsi="Times New Roman"/>
                <w:kern w:val="0"/>
                <w:szCs w:val="21"/>
              </w:rPr>
              <w:t>15</w:t>
            </w:r>
          </w:p>
        </w:tc>
        <w:tc>
          <w:tcPr>
            <w:tcW w:w="1248" w:type="pct"/>
            <w:shd w:val="clear" w:color="auto" w:fill="auto"/>
            <w:tcMar>
              <w:top w:w="8" w:type="dxa"/>
              <w:left w:w="8" w:type="dxa"/>
              <w:bottom w:w="0" w:type="dxa"/>
              <w:right w:w="8" w:type="dxa"/>
            </w:tcMar>
            <w:vAlign w:val="center"/>
          </w:tcPr>
          <w:p>
            <w:pPr>
              <w:widowControl/>
              <w:jc w:val="center"/>
              <w:rPr>
                <w:rFonts w:hint="eastAsia" w:ascii="宋体" w:hAnsi="宋体"/>
                <w:szCs w:val="21"/>
              </w:rPr>
            </w:pPr>
            <w:r>
              <w:rPr>
                <w:rFonts w:hint="eastAsia" w:ascii="宋体" w:hAnsi="宋体"/>
                <w:szCs w:val="21"/>
              </w:rPr>
              <w:t>滨湖</w:t>
            </w:r>
            <w:bookmarkStart w:id="16" w:name="_Hlk179645105"/>
            <w:r>
              <w:rPr>
                <w:rFonts w:hint="eastAsia" w:ascii="宋体" w:hAnsi="宋体"/>
                <w:szCs w:val="21"/>
              </w:rPr>
              <w:t>大道</w:t>
            </w:r>
            <w:bookmarkEnd w:id="16"/>
            <w:r>
              <w:rPr>
                <w:rFonts w:hint="eastAsia" w:ascii="宋体" w:hAnsi="宋体"/>
                <w:szCs w:val="21"/>
              </w:rPr>
              <w:t>商业街</w:t>
            </w:r>
          </w:p>
        </w:tc>
        <w:tc>
          <w:tcPr>
            <w:tcW w:w="1682" w:type="pct"/>
            <w:shd w:val="clear" w:color="auto" w:fill="auto"/>
            <w:tcMar>
              <w:top w:w="8" w:type="dxa"/>
              <w:left w:w="8" w:type="dxa"/>
              <w:bottom w:w="0" w:type="dxa"/>
              <w:right w:w="8" w:type="dxa"/>
            </w:tcMar>
            <w:vAlign w:val="center"/>
          </w:tcPr>
          <w:p>
            <w:pPr>
              <w:widowControl/>
              <w:rPr>
                <w:rFonts w:hint="eastAsia" w:ascii="宋体" w:hAnsi="宋体" w:cs="宋体"/>
                <w:kern w:val="0"/>
                <w:szCs w:val="21"/>
              </w:rPr>
            </w:pPr>
            <w:r>
              <w:rPr>
                <w:rFonts w:hint="eastAsia" w:ascii="宋体" w:hAnsi="宋体"/>
                <w:szCs w:val="21"/>
              </w:rPr>
              <w:t>位于滨湖大道东、高新大道南、大长线西</w:t>
            </w:r>
          </w:p>
        </w:tc>
        <w:tc>
          <w:tcPr>
            <w:tcW w:w="723" w:type="pct"/>
            <w:vAlign w:val="center"/>
          </w:tcPr>
          <w:p>
            <w:pPr>
              <w:widowControl/>
              <w:spacing w:before="100" w:beforeAutospacing="1" w:after="100" w:afterAutospacing="1"/>
              <w:jc w:val="center"/>
              <w:rPr>
                <w:rFonts w:hint="eastAsia" w:ascii="宋体" w:hAnsi="宋体" w:cs="宋体"/>
                <w:kern w:val="0"/>
                <w:szCs w:val="21"/>
              </w:rPr>
            </w:pPr>
            <w:r>
              <w:rPr>
                <w:rFonts w:hint="eastAsia" w:ascii="宋体" w:hAnsi="宋体"/>
                <w:szCs w:val="21"/>
              </w:rPr>
              <w:t>新建</w:t>
            </w:r>
          </w:p>
        </w:tc>
        <w:tc>
          <w:tcPr>
            <w:tcW w:w="723" w:type="pct"/>
            <w:vAlign w:val="center"/>
          </w:tcPr>
          <w:p>
            <w:pPr>
              <w:widowControl/>
              <w:spacing w:before="100" w:beforeAutospacing="1" w:after="100" w:afterAutospacing="1"/>
              <w:jc w:val="center"/>
              <w:rPr>
                <w:rFonts w:hint="eastAsia" w:ascii="宋体" w:hAnsi="宋体"/>
                <w:szCs w:val="21"/>
              </w:rPr>
            </w:pPr>
            <w:r>
              <w:rPr>
                <w:rFonts w:hint="eastAsia" w:ascii="宋体" w:hAnsi="宋体"/>
                <w:szCs w:val="21"/>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67" w:type="pct"/>
            <w:vMerge w:val="restart"/>
            <w:shd w:val="clear" w:color="auto" w:fill="auto"/>
            <w:vAlign w:val="center"/>
          </w:tcPr>
          <w:p>
            <w:pPr>
              <w:widowControl/>
              <w:jc w:val="center"/>
              <w:rPr>
                <w:rFonts w:hint="eastAsia" w:ascii="宋体" w:hAnsi="宋体" w:cs="宋体"/>
                <w:kern w:val="0"/>
                <w:szCs w:val="21"/>
              </w:rPr>
            </w:pPr>
            <w:r>
              <w:rPr>
                <w:rFonts w:hint="eastAsia" w:ascii="宋体" w:hAnsi="宋体" w:cs="宋体"/>
                <w:b/>
                <w:bCs/>
                <w:color w:val="000000"/>
                <w:kern w:val="0"/>
                <w:szCs w:val="21"/>
              </w:rPr>
              <w:t>上党</w:t>
            </w:r>
          </w:p>
        </w:tc>
        <w:tc>
          <w:tcPr>
            <w:tcW w:w="357" w:type="pct"/>
            <w:shd w:val="clear" w:color="auto" w:fill="auto"/>
            <w:tcMar>
              <w:top w:w="8" w:type="dxa"/>
              <w:left w:w="8" w:type="dxa"/>
              <w:bottom w:w="0" w:type="dxa"/>
              <w:right w:w="8" w:type="dxa"/>
            </w:tcMar>
            <w:vAlign w:val="center"/>
          </w:tcPr>
          <w:p>
            <w:pPr>
              <w:widowControl/>
              <w:spacing w:before="100" w:beforeAutospacing="1" w:after="100" w:afterAutospacing="1"/>
              <w:jc w:val="center"/>
              <w:rPr>
                <w:rFonts w:ascii="Times New Roman" w:hAnsi="Times New Roman"/>
                <w:kern w:val="0"/>
                <w:szCs w:val="21"/>
              </w:rPr>
            </w:pPr>
            <w:r>
              <w:rPr>
                <w:rFonts w:hint="eastAsia" w:ascii="Times New Roman" w:hAnsi="Times New Roman"/>
                <w:kern w:val="0"/>
                <w:szCs w:val="21"/>
              </w:rPr>
              <w:t>16</w:t>
            </w:r>
          </w:p>
        </w:tc>
        <w:tc>
          <w:tcPr>
            <w:tcW w:w="1248" w:type="pct"/>
            <w:shd w:val="clear" w:color="auto" w:fill="auto"/>
            <w:tcMar>
              <w:top w:w="8" w:type="dxa"/>
              <w:left w:w="8" w:type="dxa"/>
              <w:bottom w:w="0" w:type="dxa"/>
              <w:right w:w="8" w:type="dxa"/>
            </w:tcMar>
            <w:vAlign w:val="center"/>
          </w:tcPr>
          <w:p>
            <w:pPr>
              <w:widowControl/>
              <w:jc w:val="center"/>
              <w:rPr>
                <w:rFonts w:hint="eastAsia" w:ascii="宋体" w:hAnsi="宋体"/>
                <w:szCs w:val="21"/>
              </w:rPr>
            </w:pPr>
            <w:r>
              <w:rPr>
                <w:rFonts w:hint="eastAsia" w:ascii="宋体" w:hAnsi="宋体"/>
                <w:szCs w:val="21"/>
              </w:rPr>
              <w:t>银桥步行街</w:t>
            </w:r>
          </w:p>
        </w:tc>
        <w:tc>
          <w:tcPr>
            <w:tcW w:w="1682" w:type="pct"/>
            <w:shd w:val="clear" w:color="auto" w:fill="auto"/>
            <w:tcMar>
              <w:top w:w="8" w:type="dxa"/>
              <w:left w:w="8" w:type="dxa"/>
              <w:bottom w:w="0" w:type="dxa"/>
              <w:right w:w="8" w:type="dxa"/>
            </w:tcMar>
            <w:vAlign w:val="center"/>
          </w:tcPr>
          <w:p>
            <w:pPr>
              <w:widowControl/>
              <w:rPr>
                <w:rFonts w:hint="eastAsia" w:ascii="宋体" w:hAnsi="宋体"/>
                <w:szCs w:val="21"/>
              </w:rPr>
            </w:pPr>
            <w:r>
              <w:rPr>
                <w:rFonts w:hint="eastAsia" w:ascii="宋体" w:hAnsi="宋体"/>
                <w:szCs w:val="21"/>
              </w:rPr>
              <w:t>银桥巷，新市东街与迎宾东街之间</w:t>
            </w:r>
          </w:p>
        </w:tc>
        <w:tc>
          <w:tcPr>
            <w:tcW w:w="723" w:type="pct"/>
            <w:vAlign w:val="center"/>
          </w:tcPr>
          <w:p>
            <w:pPr>
              <w:widowControl/>
              <w:jc w:val="center"/>
              <w:rPr>
                <w:rFonts w:hint="eastAsia" w:ascii="宋体" w:hAnsi="宋体"/>
                <w:szCs w:val="21"/>
              </w:rPr>
            </w:pPr>
            <w:r>
              <w:rPr>
                <w:rFonts w:hint="eastAsia" w:ascii="宋体" w:hAnsi="宋体"/>
                <w:szCs w:val="21"/>
              </w:rPr>
              <w:t>改造提升</w:t>
            </w:r>
          </w:p>
        </w:tc>
        <w:tc>
          <w:tcPr>
            <w:tcW w:w="723" w:type="pct"/>
            <w:vAlign w:val="center"/>
          </w:tcPr>
          <w:p>
            <w:pPr>
              <w:widowControl/>
              <w:jc w:val="center"/>
              <w:rPr>
                <w:rFonts w:hint="eastAsia" w:ascii="宋体" w:hAnsi="宋体"/>
                <w:szCs w:val="21"/>
              </w:rPr>
            </w:pPr>
            <w:r>
              <w:rPr>
                <w:rFonts w:hint="eastAsia" w:ascii="宋体" w:hAnsi="宋体"/>
                <w:szCs w:val="21"/>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67" w:type="pct"/>
            <w:vMerge w:val="continue"/>
            <w:shd w:val="clear" w:color="auto" w:fill="auto"/>
            <w:vAlign w:val="center"/>
          </w:tcPr>
          <w:p>
            <w:pPr>
              <w:widowControl/>
              <w:jc w:val="center"/>
              <w:rPr>
                <w:rFonts w:hint="eastAsia" w:ascii="宋体" w:hAnsi="宋体" w:cs="宋体"/>
                <w:kern w:val="0"/>
                <w:szCs w:val="21"/>
              </w:rPr>
            </w:pPr>
          </w:p>
        </w:tc>
        <w:tc>
          <w:tcPr>
            <w:tcW w:w="357" w:type="pct"/>
            <w:shd w:val="clear" w:color="auto" w:fill="auto"/>
            <w:tcMar>
              <w:top w:w="8" w:type="dxa"/>
              <w:left w:w="8" w:type="dxa"/>
              <w:bottom w:w="0" w:type="dxa"/>
              <w:right w:w="8" w:type="dxa"/>
            </w:tcMar>
            <w:vAlign w:val="center"/>
          </w:tcPr>
          <w:p>
            <w:pPr>
              <w:widowControl/>
              <w:spacing w:before="100" w:beforeAutospacing="1" w:after="100" w:afterAutospacing="1"/>
              <w:jc w:val="center"/>
              <w:rPr>
                <w:rFonts w:ascii="Times New Roman" w:hAnsi="Times New Roman"/>
                <w:kern w:val="0"/>
                <w:szCs w:val="21"/>
              </w:rPr>
            </w:pPr>
            <w:r>
              <w:rPr>
                <w:rFonts w:hint="eastAsia" w:ascii="Times New Roman" w:hAnsi="Times New Roman"/>
                <w:kern w:val="0"/>
                <w:szCs w:val="21"/>
              </w:rPr>
              <w:t>17</w:t>
            </w:r>
          </w:p>
        </w:tc>
        <w:tc>
          <w:tcPr>
            <w:tcW w:w="1248" w:type="pct"/>
            <w:shd w:val="clear" w:color="auto" w:fill="auto"/>
            <w:tcMar>
              <w:top w:w="8" w:type="dxa"/>
              <w:left w:w="8" w:type="dxa"/>
              <w:bottom w:w="0" w:type="dxa"/>
              <w:right w:w="8" w:type="dxa"/>
            </w:tcMar>
            <w:vAlign w:val="center"/>
          </w:tcPr>
          <w:p>
            <w:pPr>
              <w:widowControl/>
              <w:jc w:val="center"/>
              <w:rPr>
                <w:rFonts w:hint="eastAsia" w:ascii="宋体" w:hAnsi="宋体"/>
                <w:szCs w:val="21"/>
              </w:rPr>
            </w:pPr>
            <w:r>
              <w:rPr>
                <w:rFonts w:hint="eastAsia" w:ascii="宋体" w:hAnsi="宋体"/>
                <w:szCs w:val="21"/>
              </w:rPr>
              <w:t>山煤凯德世家广场</w:t>
            </w:r>
          </w:p>
        </w:tc>
        <w:tc>
          <w:tcPr>
            <w:tcW w:w="1682" w:type="pct"/>
            <w:shd w:val="clear" w:color="auto" w:fill="auto"/>
            <w:tcMar>
              <w:top w:w="8" w:type="dxa"/>
              <w:left w:w="8" w:type="dxa"/>
              <w:bottom w:w="0" w:type="dxa"/>
              <w:right w:w="8" w:type="dxa"/>
            </w:tcMar>
            <w:vAlign w:val="center"/>
          </w:tcPr>
          <w:p>
            <w:pPr>
              <w:widowControl/>
              <w:rPr>
                <w:rFonts w:hint="eastAsia" w:ascii="宋体" w:hAnsi="宋体"/>
                <w:szCs w:val="21"/>
              </w:rPr>
            </w:pPr>
            <w:r>
              <w:rPr>
                <w:rFonts w:hint="eastAsia" w:ascii="宋体" w:hAnsi="宋体"/>
                <w:szCs w:val="21"/>
              </w:rPr>
              <w:t>黎都西街与医东巷交叉路口北侧，北接体育西街，南到黎都西街，东接光明路</w:t>
            </w:r>
          </w:p>
        </w:tc>
        <w:tc>
          <w:tcPr>
            <w:tcW w:w="723" w:type="pct"/>
            <w:vAlign w:val="center"/>
          </w:tcPr>
          <w:p>
            <w:pPr>
              <w:widowControl/>
              <w:jc w:val="center"/>
              <w:rPr>
                <w:rFonts w:hint="eastAsia" w:ascii="宋体" w:hAnsi="宋体"/>
                <w:szCs w:val="21"/>
              </w:rPr>
            </w:pPr>
            <w:r>
              <w:rPr>
                <w:rFonts w:hint="eastAsia" w:ascii="宋体" w:hAnsi="宋体"/>
                <w:szCs w:val="21"/>
              </w:rPr>
              <w:t>改造提升</w:t>
            </w:r>
          </w:p>
        </w:tc>
        <w:tc>
          <w:tcPr>
            <w:tcW w:w="723" w:type="pct"/>
            <w:vAlign w:val="center"/>
          </w:tcPr>
          <w:p>
            <w:pPr>
              <w:widowControl/>
              <w:jc w:val="center"/>
              <w:rPr>
                <w:rFonts w:hint="eastAsia" w:ascii="宋体" w:hAnsi="宋体"/>
                <w:szCs w:val="21"/>
              </w:rPr>
            </w:pPr>
            <w:r>
              <w:rPr>
                <w:rFonts w:hint="eastAsia" w:ascii="宋体" w:hAnsi="宋体"/>
                <w:szCs w:val="21"/>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67" w:type="pct"/>
            <w:vMerge w:val="restart"/>
            <w:shd w:val="clear" w:color="auto" w:fill="auto"/>
            <w:vAlign w:val="center"/>
          </w:tcPr>
          <w:p>
            <w:pPr>
              <w:widowControl/>
              <w:jc w:val="center"/>
              <w:rPr>
                <w:rFonts w:hint="eastAsia" w:ascii="宋体" w:hAnsi="宋体" w:cs="宋体"/>
                <w:kern w:val="0"/>
                <w:szCs w:val="21"/>
              </w:rPr>
            </w:pPr>
            <w:r>
              <w:rPr>
                <w:rFonts w:hint="eastAsia" w:ascii="宋体" w:hAnsi="宋体" w:cs="宋体"/>
                <w:b/>
                <w:bCs/>
                <w:color w:val="000000"/>
                <w:kern w:val="0"/>
                <w:szCs w:val="21"/>
              </w:rPr>
              <w:t>屯留</w:t>
            </w:r>
          </w:p>
        </w:tc>
        <w:tc>
          <w:tcPr>
            <w:tcW w:w="357" w:type="pct"/>
            <w:shd w:val="clear" w:color="auto" w:fill="auto"/>
            <w:tcMar>
              <w:top w:w="8" w:type="dxa"/>
              <w:left w:w="8" w:type="dxa"/>
              <w:bottom w:w="0" w:type="dxa"/>
              <w:right w:w="8" w:type="dxa"/>
            </w:tcMar>
            <w:vAlign w:val="center"/>
          </w:tcPr>
          <w:p>
            <w:pPr>
              <w:widowControl/>
              <w:spacing w:before="100" w:beforeAutospacing="1" w:after="100" w:afterAutospacing="1"/>
              <w:jc w:val="center"/>
              <w:rPr>
                <w:rFonts w:ascii="Times New Roman" w:hAnsi="Times New Roman"/>
                <w:kern w:val="0"/>
                <w:szCs w:val="21"/>
              </w:rPr>
            </w:pPr>
            <w:r>
              <w:rPr>
                <w:rFonts w:hint="eastAsia" w:ascii="Times New Roman" w:hAnsi="Times New Roman"/>
                <w:kern w:val="0"/>
                <w:szCs w:val="21"/>
              </w:rPr>
              <w:t>18</w:t>
            </w:r>
          </w:p>
        </w:tc>
        <w:tc>
          <w:tcPr>
            <w:tcW w:w="1248" w:type="pct"/>
            <w:shd w:val="clear" w:color="auto" w:fill="auto"/>
            <w:tcMar>
              <w:top w:w="8" w:type="dxa"/>
              <w:left w:w="8" w:type="dxa"/>
              <w:bottom w:w="0" w:type="dxa"/>
              <w:right w:w="8" w:type="dxa"/>
            </w:tcMar>
            <w:vAlign w:val="center"/>
          </w:tcPr>
          <w:p>
            <w:pPr>
              <w:widowControl/>
              <w:jc w:val="center"/>
              <w:rPr>
                <w:rFonts w:hint="eastAsia" w:ascii="宋体" w:hAnsi="宋体"/>
                <w:szCs w:val="21"/>
              </w:rPr>
            </w:pPr>
            <w:r>
              <w:rPr>
                <w:rFonts w:hint="eastAsia" w:ascii="宋体" w:hAnsi="宋体"/>
                <w:szCs w:val="21"/>
              </w:rPr>
              <w:t>西街物流园</w:t>
            </w:r>
          </w:p>
        </w:tc>
        <w:tc>
          <w:tcPr>
            <w:tcW w:w="1682" w:type="pct"/>
            <w:shd w:val="clear" w:color="auto" w:fill="auto"/>
            <w:tcMar>
              <w:top w:w="8" w:type="dxa"/>
              <w:left w:w="8" w:type="dxa"/>
              <w:bottom w:w="0" w:type="dxa"/>
              <w:right w:w="8" w:type="dxa"/>
            </w:tcMar>
            <w:vAlign w:val="center"/>
          </w:tcPr>
          <w:p>
            <w:pPr>
              <w:widowControl/>
              <w:rPr>
                <w:rFonts w:hint="eastAsia" w:ascii="宋体" w:hAnsi="宋体"/>
                <w:szCs w:val="21"/>
              </w:rPr>
            </w:pPr>
            <w:r>
              <w:rPr>
                <w:rFonts w:hint="eastAsia" w:ascii="宋体" w:hAnsi="宋体"/>
                <w:szCs w:val="21"/>
              </w:rPr>
              <w:t>麟绛小学以东，麟绛佳园以西，北接麟绛西大街，南到羿神西大街</w:t>
            </w:r>
          </w:p>
        </w:tc>
        <w:tc>
          <w:tcPr>
            <w:tcW w:w="723" w:type="pct"/>
            <w:vAlign w:val="center"/>
          </w:tcPr>
          <w:p>
            <w:pPr>
              <w:widowControl/>
              <w:jc w:val="center"/>
              <w:rPr>
                <w:rFonts w:hint="eastAsia" w:ascii="宋体" w:hAnsi="宋体"/>
                <w:szCs w:val="21"/>
              </w:rPr>
            </w:pPr>
            <w:r>
              <w:rPr>
                <w:rFonts w:hint="eastAsia" w:ascii="宋体" w:hAnsi="宋体"/>
                <w:szCs w:val="21"/>
              </w:rPr>
              <w:t>改造提升</w:t>
            </w:r>
          </w:p>
        </w:tc>
        <w:tc>
          <w:tcPr>
            <w:tcW w:w="723" w:type="pct"/>
            <w:vAlign w:val="center"/>
          </w:tcPr>
          <w:p>
            <w:pPr>
              <w:widowControl/>
              <w:jc w:val="center"/>
              <w:rPr>
                <w:rFonts w:hint="eastAsia" w:ascii="宋体" w:hAnsi="宋体"/>
                <w:szCs w:val="21"/>
              </w:rPr>
            </w:pPr>
            <w:r>
              <w:rPr>
                <w:rFonts w:hint="eastAsia" w:ascii="宋体" w:hAnsi="宋体"/>
                <w:szCs w:val="21"/>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67" w:type="pct"/>
            <w:vMerge w:val="continue"/>
            <w:shd w:val="clear" w:color="auto" w:fill="auto"/>
            <w:vAlign w:val="center"/>
          </w:tcPr>
          <w:p>
            <w:pPr>
              <w:widowControl/>
              <w:jc w:val="center"/>
              <w:rPr>
                <w:rFonts w:hint="eastAsia" w:ascii="宋体" w:hAnsi="宋体" w:cs="宋体"/>
                <w:kern w:val="0"/>
                <w:szCs w:val="21"/>
              </w:rPr>
            </w:pPr>
          </w:p>
        </w:tc>
        <w:tc>
          <w:tcPr>
            <w:tcW w:w="357" w:type="pct"/>
            <w:shd w:val="clear" w:color="auto" w:fill="auto"/>
            <w:tcMar>
              <w:top w:w="8" w:type="dxa"/>
              <w:left w:w="8" w:type="dxa"/>
              <w:bottom w:w="0" w:type="dxa"/>
              <w:right w:w="8" w:type="dxa"/>
            </w:tcMar>
            <w:vAlign w:val="center"/>
          </w:tcPr>
          <w:p>
            <w:pPr>
              <w:widowControl/>
              <w:spacing w:before="100" w:beforeAutospacing="1" w:after="100" w:afterAutospacing="1"/>
              <w:jc w:val="center"/>
              <w:rPr>
                <w:rFonts w:ascii="Times New Roman" w:hAnsi="Times New Roman"/>
                <w:kern w:val="0"/>
                <w:szCs w:val="21"/>
              </w:rPr>
            </w:pPr>
            <w:r>
              <w:rPr>
                <w:rFonts w:hint="eastAsia" w:ascii="Times New Roman" w:hAnsi="Times New Roman"/>
                <w:kern w:val="0"/>
                <w:szCs w:val="21"/>
              </w:rPr>
              <w:t>19</w:t>
            </w:r>
          </w:p>
        </w:tc>
        <w:tc>
          <w:tcPr>
            <w:tcW w:w="1248" w:type="pct"/>
            <w:shd w:val="clear" w:color="auto" w:fill="auto"/>
            <w:tcMar>
              <w:top w:w="8" w:type="dxa"/>
              <w:left w:w="8" w:type="dxa"/>
              <w:bottom w:w="0" w:type="dxa"/>
              <w:right w:w="8" w:type="dxa"/>
            </w:tcMar>
            <w:vAlign w:val="center"/>
          </w:tcPr>
          <w:p>
            <w:pPr>
              <w:widowControl/>
              <w:jc w:val="center"/>
              <w:rPr>
                <w:rFonts w:hint="eastAsia" w:ascii="宋体" w:hAnsi="宋体"/>
                <w:szCs w:val="21"/>
              </w:rPr>
            </w:pPr>
            <w:r>
              <w:rPr>
                <w:rFonts w:hint="eastAsia" w:ascii="宋体" w:hAnsi="宋体"/>
                <w:szCs w:val="21"/>
              </w:rPr>
              <w:t>曙光商业街</w:t>
            </w:r>
          </w:p>
        </w:tc>
        <w:tc>
          <w:tcPr>
            <w:tcW w:w="1682" w:type="pct"/>
            <w:shd w:val="clear" w:color="auto" w:fill="auto"/>
            <w:tcMar>
              <w:top w:w="8" w:type="dxa"/>
              <w:left w:w="8" w:type="dxa"/>
              <w:bottom w:w="0" w:type="dxa"/>
              <w:right w:w="8" w:type="dxa"/>
            </w:tcMar>
            <w:vAlign w:val="center"/>
          </w:tcPr>
          <w:p>
            <w:pPr>
              <w:widowControl/>
              <w:rPr>
                <w:rFonts w:hint="eastAsia" w:ascii="宋体" w:hAnsi="宋体"/>
                <w:szCs w:val="21"/>
              </w:rPr>
            </w:pPr>
            <w:r>
              <w:rPr>
                <w:rFonts w:hint="eastAsia" w:ascii="宋体" w:hAnsi="宋体"/>
                <w:szCs w:val="21"/>
              </w:rPr>
              <w:t>羿神东大街以南，今尚城小区东侧约100米</w:t>
            </w:r>
          </w:p>
        </w:tc>
        <w:tc>
          <w:tcPr>
            <w:tcW w:w="723" w:type="pct"/>
            <w:vAlign w:val="center"/>
          </w:tcPr>
          <w:p>
            <w:pPr>
              <w:widowControl/>
              <w:jc w:val="center"/>
              <w:rPr>
                <w:rFonts w:hint="eastAsia" w:ascii="宋体" w:hAnsi="宋体"/>
                <w:szCs w:val="21"/>
              </w:rPr>
            </w:pPr>
            <w:r>
              <w:rPr>
                <w:rFonts w:hint="eastAsia" w:ascii="宋体" w:hAnsi="宋体"/>
                <w:szCs w:val="21"/>
              </w:rPr>
              <w:t>改造提升</w:t>
            </w:r>
          </w:p>
        </w:tc>
        <w:tc>
          <w:tcPr>
            <w:tcW w:w="723" w:type="pct"/>
            <w:vAlign w:val="center"/>
          </w:tcPr>
          <w:p>
            <w:pPr>
              <w:widowControl/>
              <w:jc w:val="center"/>
              <w:rPr>
                <w:rFonts w:hint="eastAsia" w:ascii="宋体" w:hAnsi="宋体"/>
                <w:szCs w:val="21"/>
              </w:rPr>
            </w:pPr>
            <w:r>
              <w:rPr>
                <w:rFonts w:hint="eastAsia" w:ascii="宋体" w:hAnsi="宋体"/>
                <w:szCs w:val="21"/>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67" w:type="pct"/>
            <w:vMerge w:val="continue"/>
            <w:shd w:val="clear" w:color="auto" w:fill="auto"/>
            <w:vAlign w:val="center"/>
          </w:tcPr>
          <w:p>
            <w:pPr>
              <w:widowControl/>
              <w:jc w:val="center"/>
              <w:rPr>
                <w:rFonts w:hint="eastAsia" w:ascii="宋体" w:hAnsi="宋体" w:cs="宋体"/>
                <w:kern w:val="0"/>
                <w:szCs w:val="21"/>
              </w:rPr>
            </w:pPr>
          </w:p>
        </w:tc>
        <w:tc>
          <w:tcPr>
            <w:tcW w:w="357" w:type="pct"/>
            <w:shd w:val="clear" w:color="auto" w:fill="auto"/>
            <w:tcMar>
              <w:top w:w="8" w:type="dxa"/>
              <w:left w:w="8" w:type="dxa"/>
              <w:bottom w:w="0" w:type="dxa"/>
              <w:right w:w="8" w:type="dxa"/>
            </w:tcMar>
            <w:vAlign w:val="center"/>
          </w:tcPr>
          <w:p>
            <w:pPr>
              <w:widowControl/>
              <w:spacing w:before="100" w:beforeAutospacing="1" w:after="100" w:afterAutospacing="1"/>
              <w:jc w:val="center"/>
              <w:rPr>
                <w:rFonts w:ascii="Times New Roman" w:hAnsi="Times New Roman"/>
                <w:kern w:val="0"/>
                <w:szCs w:val="21"/>
              </w:rPr>
            </w:pPr>
            <w:r>
              <w:rPr>
                <w:rFonts w:hint="eastAsia" w:ascii="Times New Roman" w:hAnsi="Times New Roman"/>
                <w:kern w:val="0"/>
                <w:szCs w:val="21"/>
              </w:rPr>
              <w:t>20</w:t>
            </w:r>
          </w:p>
        </w:tc>
        <w:tc>
          <w:tcPr>
            <w:tcW w:w="1248" w:type="pct"/>
            <w:shd w:val="clear" w:color="auto" w:fill="auto"/>
            <w:tcMar>
              <w:top w:w="8" w:type="dxa"/>
              <w:left w:w="8" w:type="dxa"/>
              <w:bottom w:w="0" w:type="dxa"/>
              <w:right w:w="8" w:type="dxa"/>
            </w:tcMar>
            <w:vAlign w:val="center"/>
          </w:tcPr>
          <w:p>
            <w:pPr>
              <w:widowControl/>
              <w:jc w:val="center"/>
              <w:rPr>
                <w:rFonts w:hint="eastAsia" w:ascii="宋体" w:hAnsi="宋体"/>
                <w:szCs w:val="21"/>
              </w:rPr>
            </w:pPr>
            <w:r>
              <w:rPr>
                <w:rFonts w:hint="eastAsia" w:ascii="宋体" w:hAnsi="宋体"/>
                <w:szCs w:val="21"/>
              </w:rPr>
              <w:t>禹王北路商业街</w:t>
            </w:r>
          </w:p>
        </w:tc>
        <w:tc>
          <w:tcPr>
            <w:tcW w:w="1682" w:type="pct"/>
            <w:shd w:val="clear" w:color="auto" w:fill="auto"/>
            <w:tcMar>
              <w:top w:w="8" w:type="dxa"/>
              <w:left w:w="8" w:type="dxa"/>
              <w:bottom w:w="0" w:type="dxa"/>
              <w:right w:w="8" w:type="dxa"/>
            </w:tcMar>
            <w:vAlign w:val="center"/>
          </w:tcPr>
          <w:p>
            <w:pPr>
              <w:widowControl/>
              <w:rPr>
                <w:rFonts w:hint="eastAsia" w:ascii="宋体" w:hAnsi="宋体"/>
                <w:szCs w:val="21"/>
              </w:rPr>
            </w:pPr>
            <w:r>
              <w:rPr>
                <w:rFonts w:hint="eastAsia" w:ascii="宋体" w:hAnsi="宋体"/>
                <w:szCs w:val="21"/>
              </w:rPr>
              <w:t>禹王北路，羿神西大街与新西街之间</w:t>
            </w:r>
          </w:p>
        </w:tc>
        <w:tc>
          <w:tcPr>
            <w:tcW w:w="723" w:type="pct"/>
            <w:vAlign w:val="center"/>
          </w:tcPr>
          <w:p>
            <w:pPr>
              <w:widowControl/>
              <w:jc w:val="center"/>
              <w:rPr>
                <w:rFonts w:hint="eastAsia" w:ascii="宋体" w:hAnsi="宋体"/>
                <w:szCs w:val="21"/>
              </w:rPr>
            </w:pPr>
            <w:r>
              <w:rPr>
                <w:rFonts w:hint="eastAsia" w:ascii="宋体" w:hAnsi="宋体"/>
                <w:szCs w:val="21"/>
              </w:rPr>
              <w:t>改造提升</w:t>
            </w:r>
          </w:p>
        </w:tc>
        <w:tc>
          <w:tcPr>
            <w:tcW w:w="723" w:type="pct"/>
            <w:vAlign w:val="center"/>
          </w:tcPr>
          <w:p>
            <w:pPr>
              <w:widowControl/>
              <w:jc w:val="center"/>
              <w:rPr>
                <w:rFonts w:hint="eastAsia" w:ascii="宋体" w:hAnsi="宋体"/>
                <w:szCs w:val="21"/>
              </w:rPr>
            </w:pPr>
            <w:r>
              <w:rPr>
                <w:rFonts w:hint="eastAsia" w:ascii="宋体" w:hAnsi="宋体"/>
                <w:szCs w:val="21"/>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67" w:type="pct"/>
            <w:shd w:val="clear" w:color="auto" w:fill="auto"/>
            <w:vAlign w:val="center"/>
          </w:tcPr>
          <w:p>
            <w:pPr>
              <w:widowControl/>
              <w:jc w:val="center"/>
              <w:rPr>
                <w:rFonts w:hint="eastAsia" w:ascii="宋体" w:hAnsi="宋体" w:cs="宋体"/>
                <w:kern w:val="0"/>
                <w:szCs w:val="21"/>
              </w:rPr>
            </w:pPr>
            <w:r>
              <w:rPr>
                <w:rFonts w:hint="eastAsia" w:ascii="宋体" w:hAnsi="宋体" w:cs="宋体"/>
                <w:b/>
                <w:bCs/>
                <w:color w:val="000000"/>
                <w:kern w:val="0"/>
                <w:szCs w:val="21"/>
              </w:rPr>
              <w:t>潞城</w:t>
            </w:r>
          </w:p>
        </w:tc>
        <w:tc>
          <w:tcPr>
            <w:tcW w:w="357" w:type="pct"/>
            <w:shd w:val="clear" w:color="auto" w:fill="auto"/>
            <w:tcMar>
              <w:top w:w="8" w:type="dxa"/>
              <w:left w:w="8" w:type="dxa"/>
              <w:bottom w:w="0" w:type="dxa"/>
              <w:right w:w="8" w:type="dxa"/>
            </w:tcMar>
            <w:vAlign w:val="center"/>
          </w:tcPr>
          <w:p>
            <w:pPr>
              <w:widowControl/>
              <w:spacing w:before="100" w:beforeAutospacing="1" w:after="100" w:afterAutospacing="1"/>
              <w:jc w:val="center"/>
              <w:rPr>
                <w:rFonts w:ascii="Times New Roman" w:hAnsi="Times New Roman"/>
                <w:kern w:val="0"/>
                <w:szCs w:val="21"/>
              </w:rPr>
            </w:pPr>
            <w:r>
              <w:rPr>
                <w:rFonts w:hint="eastAsia" w:ascii="Times New Roman" w:hAnsi="Times New Roman"/>
                <w:kern w:val="0"/>
                <w:szCs w:val="21"/>
              </w:rPr>
              <w:t>21</w:t>
            </w:r>
          </w:p>
        </w:tc>
        <w:tc>
          <w:tcPr>
            <w:tcW w:w="1248" w:type="pct"/>
            <w:shd w:val="clear" w:color="auto" w:fill="auto"/>
            <w:tcMar>
              <w:top w:w="8" w:type="dxa"/>
              <w:left w:w="8" w:type="dxa"/>
              <w:bottom w:w="0" w:type="dxa"/>
              <w:right w:w="8" w:type="dxa"/>
            </w:tcMar>
            <w:vAlign w:val="center"/>
          </w:tcPr>
          <w:p>
            <w:pPr>
              <w:widowControl/>
              <w:jc w:val="center"/>
              <w:rPr>
                <w:rFonts w:hint="eastAsia" w:ascii="宋体" w:hAnsi="宋体"/>
                <w:szCs w:val="21"/>
              </w:rPr>
            </w:pPr>
            <w:r>
              <w:rPr>
                <w:rFonts w:hint="eastAsia" w:ascii="宋体" w:hAnsi="宋体"/>
                <w:szCs w:val="21"/>
              </w:rPr>
              <w:t>摩坊金街</w:t>
            </w:r>
          </w:p>
        </w:tc>
        <w:tc>
          <w:tcPr>
            <w:tcW w:w="1682" w:type="pct"/>
            <w:shd w:val="clear" w:color="auto" w:fill="auto"/>
            <w:tcMar>
              <w:top w:w="8" w:type="dxa"/>
              <w:left w:w="8" w:type="dxa"/>
              <w:bottom w:w="0" w:type="dxa"/>
              <w:right w:w="8" w:type="dxa"/>
            </w:tcMar>
            <w:vAlign w:val="center"/>
          </w:tcPr>
          <w:p>
            <w:pPr>
              <w:widowControl/>
              <w:rPr>
                <w:rFonts w:hint="eastAsia" w:ascii="宋体" w:hAnsi="宋体"/>
                <w:szCs w:val="21"/>
              </w:rPr>
            </w:pPr>
            <w:r>
              <w:rPr>
                <w:rFonts w:hint="eastAsia" w:ascii="宋体" w:hAnsi="宋体"/>
                <w:szCs w:val="21"/>
              </w:rPr>
              <w:t>中华大街、府西北路、城内正街、南城巷围合区域</w:t>
            </w:r>
          </w:p>
        </w:tc>
        <w:tc>
          <w:tcPr>
            <w:tcW w:w="723" w:type="pct"/>
            <w:vAlign w:val="center"/>
          </w:tcPr>
          <w:p>
            <w:pPr>
              <w:widowControl/>
              <w:jc w:val="center"/>
              <w:rPr>
                <w:rFonts w:hint="eastAsia" w:ascii="宋体" w:hAnsi="宋体"/>
                <w:szCs w:val="21"/>
              </w:rPr>
            </w:pPr>
            <w:r>
              <w:rPr>
                <w:rFonts w:hint="eastAsia" w:ascii="宋体" w:hAnsi="宋体"/>
                <w:szCs w:val="21"/>
              </w:rPr>
              <w:t>改造提升</w:t>
            </w:r>
          </w:p>
        </w:tc>
        <w:tc>
          <w:tcPr>
            <w:tcW w:w="723" w:type="pct"/>
            <w:vAlign w:val="center"/>
          </w:tcPr>
          <w:p>
            <w:pPr>
              <w:widowControl/>
              <w:jc w:val="center"/>
              <w:rPr>
                <w:rFonts w:hint="eastAsia" w:ascii="宋体" w:hAnsi="宋体"/>
                <w:szCs w:val="21"/>
              </w:rPr>
            </w:pPr>
            <w:r>
              <w:rPr>
                <w:rFonts w:hint="eastAsia" w:ascii="宋体" w:hAnsi="宋体"/>
                <w:szCs w:val="21"/>
              </w:rPr>
              <w:t>远期</w:t>
            </w:r>
          </w:p>
        </w:tc>
      </w:tr>
    </w:tbl>
    <w:p>
      <w:pPr>
        <w:spacing w:before="156" w:beforeLines="50" w:after="156" w:afterLines="50" w:line="560" w:lineRule="exact"/>
        <w:ind w:firstLine="602" w:firstLineChars="200"/>
        <w:outlineLvl w:val="1"/>
        <w:rPr>
          <w:rFonts w:hint="eastAsia" w:ascii="黑体" w:hAnsi="黑体" w:eastAsia="黑体"/>
          <w:b/>
          <w:bCs/>
          <w:sz w:val="30"/>
          <w:szCs w:val="30"/>
        </w:rPr>
      </w:pPr>
      <w:bookmarkStart w:id="17" w:name="_Toc183683955"/>
      <w:r>
        <w:rPr>
          <w:rFonts w:hint="eastAsia" w:ascii="黑体" w:hAnsi="黑体" w:eastAsia="黑体"/>
          <w:b/>
          <w:bCs/>
          <w:sz w:val="30"/>
          <w:szCs w:val="30"/>
        </w:rPr>
        <w:t xml:space="preserve">第五节 </w:t>
      </w:r>
      <w:bookmarkStart w:id="18" w:name="_Hlk183682642"/>
      <w:r>
        <w:rPr>
          <w:rFonts w:hint="eastAsia" w:ascii="黑体" w:hAnsi="黑体" w:eastAsia="黑体"/>
          <w:b/>
          <w:bCs/>
          <w:sz w:val="30"/>
          <w:szCs w:val="30"/>
        </w:rPr>
        <w:t>商品交易市场</w:t>
      </w:r>
      <w:bookmarkEnd w:id="18"/>
      <w:r>
        <w:rPr>
          <w:rFonts w:hint="eastAsia" w:ascii="黑体" w:hAnsi="黑体" w:eastAsia="黑体"/>
          <w:b/>
          <w:bCs/>
          <w:sz w:val="30"/>
          <w:szCs w:val="30"/>
        </w:rPr>
        <w:t>规划布局</w:t>
      </w:r>
      <w:bookmarkEnd w:id="17"/>
    </w:p>
    <w:p>
      <w:pPr>
        <w:spacing w:line="560" w:lineRule="exact"/>
        <w:ind w:firstLine="602" w:firstLineChars="200"/>
        <w:rPr>
          <w:rFonts w:hint="eastAsia" w:ascii="仿宋_GB2312" w:hAnsi="黑体" w:eastAsia="仿宋_GB2312"/>
          <w:sz w:val="30"/>
          <w:szCs w:val="30"/>
        </w:rPr>
      </w:pPr>
      <w:r>
        <w:rPr>
          <w:rFonts w:hint="eastAsia" w:ascii="仿宋_GB2312" w:hAnsi="黑体" w:eastAsia="仿宋_GB2312"/>
          <w:b/>
          <w:bCs/>
          <w:sz w:val="30"/>
          <w:szCs w:val="30"/>
        </w:rPr>
        <w:t>第二十六条</w:t>
      </w:r>
      <w:r>
        <w:rPr>
          <w:rFonts w:hint="eastAsia" w:ascii="仿宋_GB2312" w:hAnsi="黑体" w:eastAsia="仿宋_GB2312"/>
          <w:sz w:val="30"/>
          <w:szCs w:val="30"/>
        </w:rPr>
        <w:t xml:space="preserve"> 商品交易市场总体布局</w:t>
      </w:r>
    </w:p>
    <w:p>
      <w:pPr>
        <w:spacing w:line="560" w:lineRule="exact"/>
        <w:ind w:firstLine="600" w:firstLineChars="200"/>
        <w:rPr>
          <w:rFonts w:hint="eastAsia" w:ascii="仿宋_GB2312" w:hAnsi="黑体" w:eastAsia="仿宋_GB2312"/>
          <w:sz w:val="30"/>
          <w:szCs w:val="30"/>
        </w:rPr>
      </w:pPr>
      <w:r>
        <w:rPr>
          <w:rFonts w:hint="eastAsia" w:ascii="仿宋_GB2312" w:hAnsi="黑体" w:eastAsia="仿宋_GB2312"/>
          <w:sz w:val="30"/>
          <w:szCs w:val="30"/>
        </w:rPr>
        <w:t>原则上东环路、南环路、西二环、北环路以内以及滨湖新区禁止新建大型批发市场，有序引导中心城区部分商品交易市场外迁，新建商品交易市场及外迁腾退市场引导向大辛庄北部、上党经开区、潞城西部三处规划市场集聚区发展。</w:t>
      </w:r>
    </w:p>
    <w:p>
      <w:pPr>
        <w:spacing w:line="560" w:lineRule="exact"/>
        <w:ind w:firstLine="602" w:firstLineChars="200"/>
        <w:rPr>
          <w:rFonts w:hint="eastAsia" w:ascii="仿宋_GB2312" w:hAnsi="黑体" w:eastAsia="仿宋_GB2312"/>
          <w:sz w:val="30"/>
          <w:szCs w:val="30"/>
        </w:rPr>
      </w:pPr>
      <w:r>
        <w:rPr>
          <w:rFonts w:hint="eastAsia" w:ascii="仿宋_GB2312" w:hAnsi="黑体" w:eastAsia="仿宋_GB2312"/>
          <w:b/>
          <w:bCs/>
          <w:sz w:val="30"/>
          <w:szCs w:val="30"/>
        </w:rPr>
        <w:t xml:space="preserve">第二十七条 </w:t>
      </w:r>
      <w:r>
        <w:rPr>
          <w:rFonts w:hint="eastAsia" w:ascii="仿宋_GB2312" w:hAnsi="黑体" w:eastAsia="仿宋_GB2312"/>
          <w:sz w:val="30"/>
          <w:szCs w:val="30"/>
        </w:rPr>
        <w:t>布局及建设要求</w:t>
      </w:r>
    </w:p>
    <w:p>
      <w:pPr>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1. 新建商品交易市场建设要求</w:t>
      </w:r>
    </w:p>
    <w:p>
      <w:pPr>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新建商品交易市场遵循“城零郊批”、集聚化发展的原则，综合考虑现状基础、历史传统、商品来源和商品类型等因素，尽量将相同、相关市场集中布局在城市中心区外围交通便利处，并尽可能靠近物流园区，便于物流活动的开展，预留足够规模的停车场用地。大型商品交易市场建设宜与居民生活区、文教区等保持一定距离，避免市场产生的噪声、污染物等影响居民生活。</w:t>
      </w:r>
    </w:p>
    <w:p>
      <w:pPr>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2. 改造提升商品交易市场建设要求</w:t>
      </w:r>
    </w:p>
    <w:p>
      <w:pPr>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对部分规模较小，但发展基础较好、潜力较大、符合用地条件且迁离现址会严重影响其发展前途的商品交易市场，可以结合实际情况引导转型升级。对经营商品价值较高、有良好经济效益和发展前景、用地符合、不影响城市功能和形象且对居民生活重要的市场予以保留。但应与时俱进，采用新技术等手段创新市场发展方式，完善配套服务设施，提高市场档次，或转变经营方式，转型为以展示、贸易洽谈和零售等功能为主的展贸市场或零售业态。</w:t>
      </w:r>
    </w:p>
    <w:p>
      <w:pPr>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4. 引导搬迁或关停商品交易市场建设要求</w:t>
      </w:r>
    </w:p>
    <w:p>
      <w:pPr>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对性质一致、位置相邻、有一定发展前景但规模较小的市场进行整合；把受到用地、交通、污染等因素严重制约，但有较好经济效益和发展前景的商品交易市场引导搬迁到城郊适合发展区域或市场集群内。鼓励市场集群内的市场开展多种形式的合作，整体提升市场集群的影响力和竞争力。</w:t>
      </w:r>
    </w:p>
    <w:p>
      <w:pPr>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对不符合用地条件、重复建设、经济效益差、污染大、配套设施不齐全且改造困难等问题比较突出，没有发展前途或不符合城市需要的市场以及空壳市场等予以关闭或转营。</w:t>
      </w:r>
    </w:p>
    <w:p>
      <w:pPr>
        <w:spacing w:line="560" w:lineRule="exact"/>
        <w:ind w:firstLine="602" w:firstLineChars="200"/>
        <w:rPr>
          <w:rFonts w:hint="eastAsia" w:ascii="仿宋_GB2312" w:hAnsi="黑体" w:eastAsia="仿宋_GB2312"/>
          <w:sz w:val="30"/>
          <w:szCs w:val="30"/>
        </w:rPr>
      </w:pPr>
      <w:r>
        <w:rPr>
          <w:rFonts w:hint="eastAsia" w:ascii="仿宋_GB2312" w:hAnsi="黑体" w:eastAsia="仿宋_GB2312"/>
          <w:b/>
          <w:bCs/>
          <w:sz w:val="30"/>
          <w:szCs w:val="30"/>
        </w:rPr>
        <w:t xml:space="preserve">第二十八条 </w:t>
      </w:r>
      <w:r>
        <w:rPr>
          <w:rFonts w:hint="eastAsia" w:ascii="仿宋_GB2312" w:hAnsi="黑体" w:eastAsia="仿宋_GB2312"/>
          <w:sz w:val="30"/>
          <w:szCs w:val="30"/>
        </w:rPr>
        <w:t>现状商品交易市场规划引导</w:t>
      </w:r>
    </w:p>
    <w:p>
      <w:pPr>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结合市场硬件设施条件以及市场主体经营情况，对50个主要商品交易市场从改造提升、功能腾退、用地腾退和存续发展四个角度提出规划引导。对于位置合理、潜力较好的商品交易市场引导其原址改造提升、存续发展，对于设施较好但其区位已不适合批发功能的商品交易市场引导其功能腾退，对于位置不适应城市发展新要求、设施陈旧的商品交易市场引导其用地腾退。</w:t>
      </w:r>
    </w:p>
    <w:p>
      <w:pPr>
        <w:spacing w:line="560" w:lineRule="exact"/>
        <w:ind w:firstLine="602" w:firstLineChars="200"/>
        <w:rPr>
          <w:rFonts w:hint="eastAsia" w:ascii="仿宋_GB2312" w:hAnsi="黑体" w:eastAsia="仿宋_GB2312"/>
          <w:sz w:val="30"/>
          <w:szCs w:val="30"/>
        </w:rPr>
      </w:pPr>
      <w:r>
        <w:rPr>
          <w:rFonts w:hint="eastAsia" w:ascii="仿宋_GB2312" w:hAnsi="黑体" w:eastAsia="仿宋_GB2312"/>
          <w:b/>
          <w:bCs/>
          <w:sz w:val="30"/>
          <w:szCs w:val="30"/>
        </w:rPr>
        <w:t xml:space="preserve">第二十九条 </w:t>
      </w:r>
      <w:r>
        <w:rPr>
          <w:rFonts w:hint="eastAsia" w:ascii="仿宋_GB2312" w:hAnsi="黑体" w:eastAsia="仿宋_GB2312"/>
          <w:sz w:val="30"/>
          <w:szCs w:val="30"/>
        </w:rPr>
        <w:t>市场集聚区规划</w:t>
      </w:r>
    </w:p>
    <w:p>
      <w:pPr>
        <w:spacing w:line="560" w:lineRule="exact"/>
        <w:ind w:firstLine="600" w:firstLineChars="200"/>
        <w:contextualSpacing/>
        <w:rPr>
          <w:rFonts w:hint="eastAsia" w:ascii="楷体" w:hAnsi="楷体" w:eastAsia="楷体" w:cs="仿宋_GB2312"/>
          <w:sz w:val="24"/>
          <w:szCs w:val="24"/>
        </w:rPr>
      </w:pPr>
      <w:r>
        <w:rPr>
          <w:rFonts w:hint="eastAsia" w:ascii="Times New Roman" w:hAnsi="Times New Roman" w:eastAsia="仿宋_GB2312" w:cs="Arial"/>
          <w:kern w:val="0"/>
          <w:sz w:val="30"/>
          <w:szCs w:val="30"/>
        </w:rPr>
        <w:t>为</w:t>
      </w:r>
      <w:r>
        <w:rPr>
          <w:rFonts w:ascii="Times New Roman" w:hAnsi="Times New Roman" w:eastAsia="仿宋_GB2312" w:cs="Arial"/>
          <w:kern w:val="0"/>
          <w:sz w:val="30"/>
          <w:szCs w:val="30"/>
        </w:rPr>
        <w:t>提高</w:t>
      </w:r>
      <w:r>
        <w:rPr>
          <w:rFonts w:hint="eastAsia" w:ascii="Times New Roman" w:hAnsi="Times New Roman" w:eastAsia="仿宋_GB2312" w:cs="Arial"/>
          <w:kern w:val="0"/>
          <w:sz w:val="30"/>
          <w:szCs w:val="30"/>
        </w:rPr>
        <w:t>长治</w:t>
      </w:r>
      <w:r>
        <w:rPr>
          <w:rFonts w:ascii="Times New Roman" w:hAnsi="Times New Roman" w:eastAsia="仿宋_GB2312" w:cs="Arial"/>
          <w:kern w:val="0"/>
          <w:sz w:val="30"/>
          <w:szCs w:val="30"/>
        </w:rPr>
        <w:t>商贸辐射能力</w:t>
      </w:r>
      <w:r>
        <w:rPr>
          <w:rFonts w:hint="eastAsia" w:ascii="Times New Roman" w:hAnsi="Times New Roman" w:eastAsia="仿宋_GB2312" w:cs="Arial"/>
          <w:kern w:val="0"/>
          <w:sz w:val="30"/>
          <w:szCs w:val="30"/>
        </w:rPr>
        <w:t>，为市场发展提供合理空间，提高交易、物流与土地利用效率，规划重点发展3处商品交易市场集聚区，用于承接中心城区用地腾退与功能腾退市场以及新建市场。详见下表。</w:t>
      </w:r>
    </w:p>
    <w:p>
      <w:pPr>
        <w:spacing w:line="560" w:lineRule="exact"/>
        <w:jc w:val="center"/>
        <w:rPr>
          <w:rFonts w:hint="eastAsia" w:ascii="楷体" w:hAnsi="楷体" w:eastAsia="楷体" w:cs="仿宋_GB2312"/>
          <w:sz w:val="24"/>
          <w:szCs w:val="24"/>
        </w:rPr>
      </w:pPr>
      <w:r>
        <w:rPr>
          <w:rFonts w:hint="eastAsia" w:ascii="楷体" w:hAnsi="楷体" w:eastAsia="楷体" w:cs="仿宋_GB2312"/>
          <w:sz w:val="24"/>
          <w:szCs w:val="24"/>
        </w:rPr>
        <w:t>表3-5-1 中心城区市场集聚区规划一览表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1758"/>
        <w:gridCol w:w="2740"/>
        <w:gridCol w:w="3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0" w:type="auto"/>
            <w:shd w:val="clear" w:color="auto" w:fill="auto"/>
            <w:vAlign w:val="center"/>
          </w:tcPr>
          <w:p>
            <w:pPr>
              <w:jc w:val="center"/>
              <w:rPr>
                <w:rFonts w:ascii="Times New Roman" w:hAnsi="Times New Roman"/>
                <w:b/>
                <w:szCs w:val="21"/>
              </w:rPr>
            </w:pPr>
            <w:r>
              <w:rPr>
                <w:rFonts w:ascii="Times New Roman" w:hAnsi="Times New Roman"/>
                <w:b/>
                <w:szCs w:val="21"/>
              </w:rPr>
              <w:t>序号</w:t>
            </w:r>
          </w:p>
        </w:tc>
        <w:tc>
          <w:tcPr>
            <w:tcW w:w="0" w:type="auto"/>
            <w:shd w:val="clear" w:color="auto" w:fill="auto"/>
            <w:vAlign w:val="center"/>
          </w:tcPr>
          <w:p>
            <w:pPr>
              <w:jc w:val="center"/>
              <w:rPr>
                <w:rFonts w:ascii="Times New Roman" w:hAnsi="Times New Roman"/>
                <w:b/>
                <w:szCs w:val="21"/>
              </w:rPr>
            </w:pPr>
            <w:r>
              <w:rPr>
                <w:rFonts w:ascii="Times New Roman" w:hAnsi="Times New Roman"/>
                <w:b/>
                <w:szCs w:val="21"/>
              </w:rPr>
              <w:t>市场集聚区</w:t>
            </w:r>
          </w:p>
        </w:tc>
        <w:tc>
          <w:tcPr>
            <w:tcW w:w="0" w:type="auto"/>
            <w:shd w:val="clear" w:color="auto" w:fill="auto"/>
            <w:vAlign w:val="center"/>
          </w:tcPr>
          <w:p>
            <w:pPr>
              <w:jc w:val="center"/>
              <w:rPr>
                <w:rFonts w:ascii="Times New Roman" w:hAnsi="Times New Roman"/>
                <w:b/>
                <w:szCs w:val="21"/>
              </w:rPr>
            </w:pPr>
            <w:r>
              <w:rPr>
                <w:rFonts w:hint="eastAsia" w:ascii="Times New Roman" w:hAnsi="Times New Roman"/>
                <w:b/>
                <w:szCs w:val="21"/>
              </w:rPr>
              <w:t>区位</w:t>
            </w:r>
          </w:p>
        </w:tc>
        <w:tc>
          <w:tcPr>
            <w:tcW w:w="0" w:type="auto"/>
            <w:shd w:val="clear" w:color="auto" w:fill="auto"/>
            <w:vAlign w:val="center"/>
          </w:tcPr>
          <w:p>
            <w:pPr>
              <w:jc w:val="center"/>
              <w:rPr>
                <w:rFonts w:ascii="Times New Roman" w:hAnsi="Times New Roman"/>
                <w:b/>
                <w:szCs w:val="21"/>
              </w:rPr>
            </w:pPr>
            <w:r>
              <w:rPr>
                <w:rFonts w:hint="eastAsia" w:ascii="Times New Roman" w:hAnsi="Times New Roman"/>
                <w:b/>
                <w:szCs w:val="21"/>
              </w:rPr>
              <w:t>功能定位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shd w:val="clear" w:color="auto" w:fill="auto"/>
            <w:vAlign w:val="center"/>
          </w:tcPr>
          <w:p>
            <w:pPr>
              <w:jc w:val="center"/>
              <w:rPr>
                <w:rFonts w:ascii="Times New Roman" w:hAnsi="Times New Roman"/>
                <w:b/>
                <w:szCs w:val="21"/>
              </w:rPr>
            </w:pPr>
            <w:r>
              <w:rPr>
                <w:rFonts w:ascii="Times New Roman" w:hAnsi="Times New Roman"/>
                <w:b/>
                <w:szCs w:val="21"/>
              </w:rPr>
              <w:t>1</w:t>
            </w:r>
          </w:p>
        </w:tc>
        <w:tc>
          <w:tcPr>
            <w:tcW w:w="0" w:type="auto"/>
            <w:shd w:val="clear" w:color="auto" w:fill="auto"/>
            <w:vAlign w:val="center"/>
          </w:tcPr>
          <w:p>
            <w:pPr>
              <w:jc w:val="center"/>
              <w:rPr>
                <w:rFonts w:ascii="Times New Roman" w:hAnsi="Times New Roman"/>
                <w:szCs w:val="21"/>
              </w:rPr>
            </w:pPr>
            <w:r>
              <w:rPr>
                <w:rFonts w:hint="eastAsia" w:ascii="Times New Roman" w:hAnsi="Times New Roman"/>
                <w:szCs w:val="21"/>
              </w:rPr>
              <w:t>上党经开区市场</w:t>
            </w:r>
            <w:r>
              <w:rPr>
                <w:rFonts w:ascii="Times New Roman" w:hAnsi="Times New Roman"/>
                <w:szCs w:val="21"/>
              </w:rPr>
              <w:t>集聚区</w:t>
            </w:r>
          </w:p>
        </w:tc>
        <w:tc>
          <w:tcPr>
            <w:tcW w:w="0" w:type="auto"/>
            <w:shd w:val="clear" w:color="auto" w:fill="auto"/>
            <w:vAlign w:val="center"/>
          </w:tcPr>
          <w:p>
            <w:pPr>
              <w:jc w:val="center"/>
              <w:rPr>
                <w:rFonts w:ascii="Times New Roman" w:hAnsi="Times New Roman"/>
                <w:szCs w:val="21"/>
              </w:rPr>
            </w:pPr>
            <w:r>
              <w:rPr>
                <w:rFonts w:hint="eastAsia" w:ascii="Times New Roman" w:hAnsi="Times New Roman"/>
                <w:szCs w:val="21"/>
              </w:rPr>
              <w:t>英雄南路与乌海线交叉口东北、东南</w:t>
            </w:r>
          </w:p>
        </w:tc>
        <w:tc>
          <w:tcPr>
            <w:tcW w:w="0" w:type="auto"/>
            <w:shd w:val="clear" w:color="auto" w:fill="auto"/>
            <w:vAlign w:val="center"/>
          </w:tcPr>
          <w:p>
            <w:pPr>
              <w:jc w:val="center"/>
              <w:rPr>
                <w:rFonts w:ascii="Times New Roman" w:hAnsi="Times New Roman"/>
                <w:szCs w:val="21"/>
              </w:rPr>
            </w:pPr>
            <w:r>
              <w:rPr>
                <w:rFonts w:hint="eastAsia" w:ascii="Times New Roman" w:hAnsi="Times New Roman"/>
                <w:szCs w:val="21"/>
              </w:rPr>
              <w:t>农产品批发、服装鞋帽、家居建材、二手车市场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shd w:val="clear" w:color="auto" w:fill="auto"/>
            <w:vAlign w:val="center"/>
          </w:tcPr>
          <w:p>
            <w:pPr>
              <w:jc w:val="center"/>
              <w:rPr>
                <w:rFonts w:ascii="Times New Roman" w:hAnsi="Times New Roman"/>
                <w:b/>
                <w:szCs w:val="21"/>
              </w:rPr>
            </w:pPr>
            <w:r>
              <w:rPr>
                <w:rFonts w:ascii="Times New Roman" w:hAnsi="Times New Roman"/>
                <w:b/>
                <w:szCs w:val="21"/>
              </w:rPr>
              <w:t>2</w:t>
            </w:r>
          </w:p>
        </w:tc>
        <w:tc>
          <w:tcPr>
            <w:tcW w:w="0" w:type="auto"/>
            <w:shd w:val="clear" w:color="auto" w:fill="auto"/>
            <w:vAlign w:val="center"/>
          </w:tcPr>
          <w:p>
            <w:pPr>
              <w:jc w:val="center"/>
              <w:rPr>
                <w:rFonts w:ascii="Times New Roman" w:hAnsi="Times New Roman"/>
                <w:szCs w:val="21"/>
              </w:rPr>
            </w:pPr>
            <w:r>
              <w:rPr>
                <w:rFonts w:hint="eastAsia" w:ascii="Times New Roman" w:hAnsi="Times New Roman"/>
                <w:szCs w:val="21"/>
              </w:rPr>
              <w:t>大辛庄市场集聚区</w:t>
            </w:r>
          </w:p>
        </w:tc>
        <w:tc>
          <w:tcPr>
            <w:tcW w:w="0" w:type="auto"/>
            <w:shd w:val="clear" w:color="auto" w:fill="auto"/>
            <w:vAlign w:val="center"/>
          </w:tcPr>
          <w:p>
            <w:pPr>
              <w:jc w:val="center"/>
              <w:rPr>
                <w:rFonts w:ascii="Times New Roman" w:hAnsi="Times New Roman"/>
                <w:szCs w:val="21"/>
              </w:rPr>
            </w:pPr>
            <w:r>
              <w:rPr>
                <w:rFonts w:hint="eastAsia" w:ascii="Times New Roman" w:hAnsi="Times New Roman"/>
                <w:szCs w:val="21"/>
              </w:rPr>
              <w:t>太长线以东，北环西街以北</w:t>
            </w:r>
          </w:p>
        </w:tc>
        <w:tc>
          <w:tcPr>
            <w:tcW w:w="0" w:type="auto"/>
            <w:shd w:val="clear" w:color="auto" w:fill="auto"/>
            <w:vAlign w:val="center"/>
          </w:tcPr>
          <w:p>
            <w:pPr>
              <w:jc w:val="center"/>
              <w:rPr>
                <w:rFonts w:ascii="Times New Roman" w:hAnsi="Times New Roman"/>
                <w:szCs w:val="21"/>
              </w:rPr>
            </w:pPr>
            <w:r>
              <w:rPr>
                <w:rFonts w:hint="eastAsia" w:ascii="Times New Roman" w:hAnsi="Times New Roman"/>
                <w:szCs w:val="21"/>
              </w:rPr>
              <w:t>小商品、服装鞋帽、旧货、家居建材市场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0" w:type="auto"/>
            <w:shd w:val="clear" w:color="auto" w:fill="auto"/>
            <w:vAlign w:val="center"/>
          </w:tcPr>
          <w:p>
            <w:pPr>
              <w:jc w:val="center"/>
              <w:rPr>
                <w:rFonts w:ascii="Times New Roman" w:hAnsi="Times New Roman"/>
                <w:b/>
                <w:szCs w:val="21"/>
              </w:rPr>
            </w:pPr>
            <w:r>
              <w:rPr>
                <w:rFonts w:hint="eastAsia" w:ascii="Times New Roman" w:hAnsi="Times New Roman"/>
                <w:b/>
                <w:szCs w:val="21"/>
              </w:rPr>
              <w:t>3</w:t>
            </w:r>
          </w:p>
        </w:tc>
        <w:tc>
          <w:tcPr>
            <w:tcW w:w="0" w:type="auto"/>
            <w:shd w:val="clear" w:color="auto" w:fill="auto"/>
            <w:vAlign w:val="center"/>
          </w:tcPr>
          <w:p>
            <w:pPr>
              <w:jc w:val="center"/>
              <w:rPr>
                <w:rFonts w:ascii="Times New Roman" w:hAnsi="Times New Roman"/>
                <w:szCs w:val="21"/>
              </w:rPr>
            </w:pPr>
            <w:r>
              <w:rPr>
                <w:rFonts w:hint="eastAsia" w:ascii="Times New Roman" w:hAnsi="Times New Roman"/>
                <w:szCs w:val="21"/>
              </w:rPr>
              <w:t>潞城西市场集聚区</w:t>
            </w:r>
          </w:p>
        </w:tc>
        <w:tc>
          <w:tcPr>
            <w:tcW w:w="0" w:type="auto"/>
            <w:shd w:val="clear" w:color="auto" w:fill="auto"/>
            <w:vAlign w:val="center"/>
          </w:tcPr>
          <w:p>
            <w:pPr>
              <w:jc w:val="center"/>
              <w:rPr>
                <w:rFonts w:ascii="Times New Roman" w:hAnsi="Times New Roman"/>
                <w:szCs w:val="21"/>
              </w:rPr>
            </w:pPr>
            <w:r>
              <w:rPr>
                <w:rFonts w:hint="eastAsia" w:ascii="Times New Roman" w:hAnsi="Times New Roman"/>
                <w:szCs w:val="21"/>
              </w:rPr>
              <w:t>环西路，Y914与中华西街围合地块</w:t>
            </w:r>
          </w:p>
        </w:tc>
        <w:tc>
          <w:tcPr>
            <w:tcW w:w="0" w:type="auto"/>
            <w:shd w:val="clear" w:color="auto" w:fill="auto"/>
            <w:vAlign w:val="center"/>
          </w:tcPr>
          <w:p>
            <w:pPr>
              <w:jc w:val="center"/>
              <w:rPr>
                <w:rFonts w:ascii="Times New Roman" w:hAnsi="Times New Roman"/>
                <w:szCs w:val="21"/>
              </w:rPr>
            </w:pPr>
            <w:r>
              <w:rPr>
                <w:rFonts w:hint="eastAsia" w:ascii="Times New Roman" w:hAnsi="Times New Roman"/>
                <w:szCs w:val="21"/>
              </w:rPr>
              <w:t>生产资料市场、家居建材市场</w:t>
            </w:r>
          </w:p>
        </w:tc>
      </w:tr>
    </w:tbl>
    <w:p>
      <w:pPr>
        <w:spacing w:line="560" w:lineRule="exact"/>
        <w:ind w:firstLine="602" w:firstLineChars="200"/>
        <w:rPr>
          <w:rFonts w:hint="eastAsia" w:ascii="仿宋_GB2312" w:hAnsi="黑体" w:eastAsia="仿宋_GB2312"/>
          <w:sz w:val="30"/>
          <w:szCs w:val="30"/>
        </w:rPr>
      </w:pPr>
      <w:r>
        <w:rPr>
          <w:rFonts w:hint="eastAsia" w:ascii="仿宋_GB2312" w:hAnsi="黑体" w:eastAsia="仿宋_GB2312"/>
          <w:b/>
          <w:bCs/>
          <w:sz w:val="30"/>
          <w:szCs w:val="30"/>
        </w:rPr>
        <w:t xml:space="preserve">第三十条 </w:t>
      </w:r>
      <w:r>
        <w:rPr>
          <w:rFonts w:hint="eastAsia" w:ascii="仿宋_GB2312" w:hAnsi="黑体" w:eastAsia="仿宋_GB2312"/>
          <w:sz w:val="30"/>
          <w:szCs w:val="30"/>
        </w:rPr>
        <w:t>引导各类新建商品交易市场升级发展</w:t>
      </w:r>
    </w:p>
    <w:p>
      <w:pPr>
        <w:spacing w:line="560" w:lineRule="exact"/>
        <w:ind w:firstLine="600" w:firstLineChars="200"/>
        <w:rPr>
          <w:rFonts w:ascii="Times New Roman" w:hAnsi="Times New Roman" w:eastAsia="仿宋_GB2312"/>
          <w:sz w:val="30"/>
          <w:szCs w:val="30"/>
        </w:rPr>
      </w:pPr>
      <w:bookmarkStart w:id="19" w:name="_Toc469903852"/>
      <w:r>
        <w:rPr>
          <w:rFonts w:hint="eastAsia" w:ascii="Times New Roman" w:hAnsi="Times New Roman" w:eastAsia="仿宋_GB2312"/>
          <w:sz w:val="30"/>
          <w:szCs w:val="30"/>
        </w:rPr>
        <w:t>1. 农产品市场规划导引</w:t>
      </w:r>
    </w:p>
    <w:p>
      <w:pPr>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新建</w:t>
      </w:r>
      <w:r>
        <w:rPr>
          <w:rFonts w:ascii="Times New Roman" w:hAnsi="Times New Roman" w:eastAsia="仿宋_GB2312"/>
          <w:sz w:val="30"/>
          <w:szCs w:val="30"/>
        </w:rPr>
        <w:t>长治智慧农产品物流园</w:t>
      </w:r>
      <w:r>
        <w:rPr>
          <w:rFonts w:hint="eastAsia" w:ascii="Times New Roman" w:hAnsi="Times New Roman" w:eastAsia="仿宋_GB2312"/>
          <w:sz w:val="30"/>
          <w:szCs w:val="30"/>
        </w:rPr>
        <w:t>，</w:t>
      </w:r>
      <w:r>
        <w:rPr>
          <w:rFonts w:ascii="Times New Roman" w:hAnsi="Times New Roman" w:eastAsia="仿宋_GB2312"/>
          <w:sz w:val="30"/>
          <w:szCs w:val="30"/>
        </w:rPr>
        <w:t>打造集农产品大集散、大流通、大冷链、大仓储、大加工、大电商为一体的生鲜农产品市场</w:t>
      </w:r>
      <w:r>
        <w:rPr>
          <w:rFonts w:hint="eastAsia" w:ascii="Times New Roman" w:hAnsi="Times New Roman" w:eastAsia="仿宋_GB2312"/>
          <w:sz w:val="30"/>
          <w:szCs w:val="30"/>
        </w:rPr>
        <w:t>，逐步</w:t>
      </w:r>
      <w:r>
        <w:rPr>
          <w:rFonts w:ascii="Times New Roman" w:hAnsi="Times New Roman" w:eastAsia="仿宋_GB2312"/>
          <w:sz w:val="30"/>
          <w:szCs w:val="30"/>
        </w:rPr>
        <w:t>承接金鑫瓜果批发市场、紫坊农贸市场的一级批发功能。</w:t>
      </w:r>
    </w:p>
    <w:p>
      <w:pPr>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市场建设方面，要按照《农产品批发市场管理技术规范》（</w:t>
      </w:r>
      <w:r>
        <w:rPr>
          <w:rFonts w:ascii="Times New Roman" w:hAnsi="Times New Roman" w:eastAsia="仿宋_GB2312"/>
          <w:sz w:val="30"/>
          <w:szCs w:val="30"/>
        </w:rPr>
        <w:t>GB/T19575-2004</w:t>
      </w:r>
      <w:r>
        <w:rPr>
          <w:rFonts w:hint="eastAsia" w:ascii="Times New Roman" w:hAnsi="Times New Roman" w:eastAsia="仿宋_GB2312"/>
          <w:sz w:val="30"/>
          <w:szCs w:val="30"/>
        </w:rPr>
        <w:t>）和《农产品批发市场管理技术规范实施细则》等标准规范，严格禽、肉类产品的市场准入制度，完善仓储冷藏、检验检测和信息化服务等综合功能，保证在特殊灾害时期的农产品供应；要与农业产业发展相结合，完善农业产业链条，加快产销对接步伐，提升市场的辐射力和影响力。</w:t>
      </w:r>
    </w:p>
    <w:p>
      <w:pPr>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2. 生产资料市场</w:t>
      </w:r>
      <w:bookmarkEnd w:id="19"/>
      <w:r>
        <w:rPr>
          <w:rFonts w:hint="eastAsia" w:ascii="Times New Roman" w:hAnsi="Times New Roman" w:eastAsia="仿宋_GB2312"/>
          <w:sz w:val="30"/>
          <w:szCs w:val="30"/>
        </w:rPr>
        <w:t>规划导引</w:t>
      </w:r>
    </w:p>
    <w:p>
      <w:pPr>
        <w:spacing w:line="560" w:lineRule="exact"/>
        <w:ind w:firstLine="600" w:firstLineChars="200"/>
        <w:rPr>
          <w:rFonts w:hint="eastAsia" w:ascii="仿宋_GB2312" w:hAnsi="黑体" w:eastAsia="仿宋_GB2312"/>
          <w:sz w:val="30"/>
          <w:szCs w:val="30"/>
        </w:rPr>
      </w:pPr>
      <w:bookmarkStart w:id="20" w:name="_Toc469903853"/>
      <w:r>
        <w:rPr>
          <w:rFonts w:hint="eastAsia" w:ascii="仿宋_GB2312" w:hAnsi="黑体" w:eastAsia="仿宋_GB2312"/>
          <w:sz w:val="30"/>
          <w:szCs w:val="30"/>
        </w:rPr>
        <w:t>对于面向消费者的生产资料市场，随着消费者生活水平的提高，对品牌产品消费要求越来越强烈，未来其发展将是逐步转型为现代零售专业商店。对于面向生产者的生产资料市场，如钢材、水泥、机械等市场，比较适宜发展集中交易模式，引导发展现代物流，实行集中配送和代理，建设集中订货的商流中心、物流配送中心。</w:t>
      </w:r>
    </w:p>
    <w:p>
      <w:pPr>
        <w:spacing w:line="560" w:lineRule="exact"/>
        <w:ind w:firstLine="600" w:firstLineChars="200"/>
        <w:rPr>
          <w:rFonts w:hint="eastAsia" w:ascii="仿宋_GB2312" w:hAnsi="黑体" w:eastAsia="仿宋_GB2312"/>
          <w:sz w:val="30"/>
          <w:szCs w:val="30"/>
        </w:rPr>
      </w:pPr>
      <w:r>
        <w:rPr>
          <w:rFonts w:hint="eastAsia" w:ascii="仿宋_GB2312" w:hAnsi="黑体" w:eastAsia="仿宋_GB2312"/>
          <w:sz w:val="30"/>
          <w:szCs w:val="30"/>
        </w:rPr>
        <w:t>引导生产资料市场聚集发展。做大农业生产资料市场，屯留东盛物流市场为基础，构建现代化农业生产资料流通节点，助力农业现代化发展；结合大辛庄北、潞城西市场集聚区建设发展五金机电、家居建材等市场集群，打造区域生产资料流通枢纽。</w:t>
      </w:r>
    </w:p>
    <w:p>
      <w:pPr>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3. 工业消费品市场</w:t>
      </w:r>
      <w:bookmarkEnd w:id="20"/>
      <w:r>
        <w:rPr>
          <w:rFonts w:hint="eastAsia" w:ascii="Times New Roman" w:hAnsi="Times New Roman" w:eastAsia="仿宋_GB2312"/>
          <w:sz w:val="30"/>
          <w:szCs w:val="30"/>
        </w:rPr>
        <w:t>规划导引</w:t>
      </w:r>
    </w:p>
    <w:p>
      <w:pPr>
        <w:spacing w:line="560" w:lineRule="exact"/>
        <w:ind w:firstLine="600" w:firstLineChars="200"/>
        <w:rPr>
          <w:rFonts w:hint="eastAsia" w:ascii="仿宋_GB2312" w:hAnsi="黑体" w:eastAsia="仿宋_GB2312"/>
          <w:sz w:val="30"/>
          <w:szCs w:val="30"/>
        </w:rPr>
      </w:pPr>
      <w:r>
        <w:rPr>
          <w:rFonts w:hint="eastAsia" w:ascii="仿宋_GB2312" w:hAnsi="黑体" w:eastAsia="仿宋_GB2312"/>
          <w:sz w:val="30"/>
          <w:szCs w:val="30"/>
        </w:rPr>
        <w:t>引导中心城区内部纺织品、服装鞋帽、工艺品、文体用品市场的批发功能向大辛庄市场集聚区转移，建设与城区内部展示订货的现代化市场相结合的运营模式，为各经营主体提供“一站式”服务，实现城内订货、城外发货，城内展示、城外配送，城内信息服务、城外物流服务。</w:t>
      </w:r>
    </w:p>
    <w:p>
      <w:pPr>
        <w:spacing w:line="560" w:lineRule="exact"/>
        <w:ind w:firstLine="600" w:firstLineChars="200"/>
        <w:rPr>
          <w:rFonts w:ascii="Times New Roman" w:hAnsi="Times New Roman" w:eastAsia="仿宋_GB2312"/>
          <w:sz w:val="30"/>
          <w:szCs w:val="30"/>
        </w:rPr>
      </w:pPr>
      <w:bookmarkStart w:id="21" w:name="_Toc469903854"/>
      <w:r>
        <w:rPr>
          <w:rFonts w:hint="eastAsia" w:ascii="Times New Roman" w:hAnsi="Times New Roman" w:eastAsia="仿宋_GB2312"/>
          <w:sz w:val="30"/>
          <w:szCs w:val="30"/>
        </w:rPr>
        <w:t>4. 汽车汽配市场</w:t>
      </w:r>
      <w:bookmarkEnd w:id="21"/>
      <w:r>
        <w:rPr>
          <w:rFonts w:hint="eastAsia" w:ascii="Times New Roman" w:hAnsi="Times New Roman" w:eastAsia="仿宋_GB2312"/>
          <w:sz w:val="30"/>
          <w:szCs w:val="30"/>
        </w:rPr>
        <w:t>规划导引</w:t>
      </w:r>
    </w:p>
    <w:p>
      <w:pPr>
        <w:spacing w:line="560" w:lineRule="exact"/>
        <w:ind w:firstLine="600" w:firstLineChars="200"/>
        <w:rPr>
          <w:rFonts w:ascii="Times New Roman" w:hAnsi="Times New Roman" w:eastAsia="仿宋_GB2312"/>
          <w:sz w:val="30"/>
          <w:szCs w:val="30"/>
        </w:rPr>
      </w:pPr>
      <w:r>
        <w:rPr>
          <w:rFonts w:hint="eastAsia" w:ascii="仿宋_GB2312" w:hAnsi="黑体" w:eastAsia="仿宋_GB2312"/>
          <w:sz w:val="30"/>
          <w:szCs w:val="30"/>
        </w:rPr>
        <w:t>按照《汽车贸易政策》、《汽车销售管理办法》、《二手车流通管理办法》及《报废机动车回收管理办法》等政策要求，建立竞争有序的汽贸专业市场，规范管理，诚信经营。</w:t>
      </w:r>
    </w:p>
    <w:p>
      <w:pPr>
        <w:spacing w:line="560" w:lineRule="exact"/>
        <w:ind w:firstLine="600" w:firstLineChars="200"/>
        <w:rPr>
          <w:rFonts w:hint="eastAsia" w:ascii="仿宋_GB2312" w:hAnsi="黑体" w:eastAsia="仿宋_GB2312"/>
          <w:sz w:val="30"/>
          <w:szCs w:val="30"/>
        </w:rPr>
      </w:pPr>
      <w:r>
        <w:rPr>
          <w:rFonts w:hint="eastAsia" w:ascii="仿宋_GB2312" w:hAnsi="黑体" w:eastAsia="仿宋_GB2312"/>
          <w:sz w:val="30"/>
          <w:szCs w:val="30"/>
        </w:rPr>
        <w:t>引导长治汽贸汽配城、长舸汽贸汽配城向汽车文化产业园方向转型升级发展，建设规模化、规范化、多功能、全方位服务的汽贸园区。鼓励新能源智能汽车展示体验、试驾、售后服务等功能的发展。</w:t>
      </w:r>
    </w:p>
    <w:p>
      <w:pPr>
        <w:spacing w:line="560" w:lineRule="exact"/>
        <w:ind w:firstLine="600" w:firstLineChars="200"/>
        <w:rPr>
          <w:rFonts w:hint="eastAsia" w:ascii="仿宋_GB2312" w:hAnsi="黑体" w:eastAsia="仿宋_GB2312"/>
          <w:sz w:val="30"/>
          <w:szCs w:val="30"/>
        </w:rPr>
      </w:pPr>
      <w:r>
        <w:rPr>
          <w:rFonts w:hint="eastAsia" w:ascii="仿宋_GB2312" w:hAnsi="黑体" w:eastAsia="仿宋_GB2312"/>
          <w:sz w:val="30"/>
          <w:szCs w:val="30"/>
        </w:rPr>
        <w:t>构建以达晟二手车、达成二手车等为流通主体，鼓励线上线下融合发展，提升检测过户等服务效率；培育报废汽车拆解企业，发展精细化拆解再制造等逆向流通节点。构建辐射晋东南地区的汽车服务产业生态圈。</w:t>
      </w:r>
    </w:p>
    <w:p>
      <w:pPr>
        <w:spacing w:line="560" w:lineRule="exact"/>
        <w:ind w:firstLine="600" w:firstLineChars="200"/>
        <w:rPr>
          <w:rFonts w:ascii="Times New Roman" w:hAnsi="Times New Roman" w:eastAsia="仿宋_GB2312"/>
          <w:sz w:val="30"/>
          <w:szCs w:val="30"/>
        </w:rPr>
      </w:pPr>
      <w:bookmarkStart w:id="22" w:name="_Toc469903855"/>
      <w:r>
        <w:rPr>
          <w:rFonts w:hint="eastAsia" w:ascii="Times New Roman" w:hAnsi="Times New Roman" w:eastAsia="仿宋_GB2312"/>
          <w:sz w:val="30"/>
          <w:szCs w:val="30"/>
        </w:rPr>
        <w:t>5. 家居建材装饰市场</w:t>
      </w:r>
      <w:bookmarkEnd w:id="22"/>
      <w:r>
        <w:rPr>
          <w:rFonts w:hint="eastAsia" w:ascii="Times New Roman" w:hAnsi="Times New Roman" w:eastAsia="仿宋_GB2312"/>
          <w:sz w:val="30"/>
          <w:szCs w:val="30"/>
        </w:rPr>
        <w:t>规划导引</w:t>
      </w:r>
    </w:p>
    <w:p>
      <w:pPr>
        <w:spacing w:line="560" w:lineRule="exact"/>
        <w:ind w:firstLine="600" w:firstLineChars="200"/>
        <w:rPr>
          <w:rFonts w:hint="eastAsia" w:ascii="仿宋_GB2312" w:hAnsi="黑体" w:eastAsia="仿宋_GB2312"/>
          <w:sz w:val="30"/>
          <w:szCs w:val="30"/>
        </w:rPr>
      </w:pPr>
      <w:r>
        <w:rPr>
          <w:rFonts w:hint="eastAsia" w:ascii="仿宋_GB2312" w:hAnsi="黑体" w:eastAsia="仿宋_GB2312"/>
          <w:sz w:val="30"/>
          <w:szCs w:val="30"/>
        </w:rPr>
        <w:t>本着集中集聚发展的思想，引导中心城区的家具、五金及装饰材料市场向市场集聚区搬迁。加大品牌专卖店建设力度，适度均衡发展现代化家居建材零售网点，丰富长治家居建材市场业态，满足消费者现代化消费需求。</w:t>
      </w:r>
    </w:p>
    <w:p>
      <w:pPr>
        <w:spacing w:line="560" w:lineRule="exact"/>
        <w:ind w:firstLine="600" w:firstLineChars="200"/>
        <w:rPr>
          <w:rFonts w:hint="eastAsia" w:ascii="仿宋_GB2312" w:hAnsi="黑体" w:eastAsia="仿宋_GB2312"/>
          <w:sz w:val="30"/>
          <w:szCs w:val="30"/>
        </w:rPr>
      </w:pPr>
      <w:r>
        <w:rPr>
          <w:rFonts w:hint="eastAsia" w:ascii="仿宋_GB2312" w:hAnsi="黑体" w:eastAsia="仿宋_GB2312"/>
          <w:sz w:val="30"/>
          <w:szCs w:val="30"/>
        </w:rPr>
        <w:t>推动家居建材装饰市场资源整合，建设集建材、家具、家饰、窗帘布艺等展示、交易为一体的综合性精品家居建材市场集聚区，提供全方位、一站式现代家居建材销售、家居个性化定制设计、装修服务以及现代家居生活体验。引导现有市场向规划的市场集聚区内集中，提高商品质量，改善服务水平，促进行业持续发展。中心城区内不再新建家居建材装饰市场。</w:t>
      </w:r>
    </w:p>
    <w:p>
      <w:pPr>
        <w:spacing w:before="156" w:beforeLines="50" w:after="156" w:afterLines="50" w:line="560" w:lineRule="exact"/>
        <w:ind w:firstLine="602" w:firstLineChars="200"/>
        <w:outlineLvl w:val="1"/>
        <w:rPr>
          <w:rFonts w:hint="eastAsia" w:ascii="黑体" w:hAnsi="黑体" w:eastAsia="黑体"/>
          <w:b/>
          <w:bCs/>
          <w:sz w:val="30"/>
          <w:szCs w:val="30"/>
        </w:rPr>
      </w:pPr>
      <w:bookmarkStart w:id="23" w:name="_Toc183683956"/>
      <w:r>
        <w:rPr>
          <w:rFonts w:hint="eastAsia" w:ascii="黑体" w:hAnsi="黑体" w:eastAsia="黑体"/>
          <w:b/>
          <w:bCs/>
          <w:sz w:val="30"/>
          <w:szCs w:val="30"/>
        </w:rPr>
        <w:t xml:space="preserve">第六节 </w:t>
      </w:r>
      <w:bookmarkStart w:id="24" w:name="_Hlk183683157"/>
      <w:r>
        <w:rPr>
          <w:rFonts w:hint="eastAsia" w:ascii="黑体" w:hAnsi="黑体" w:eastAsia="黑体"/>
          <w:b/>
          <w:bCs/>
          <w:sz w:val="30"/>
          <w:szCs w:val="30"/>
        </w:rPr>
        <w:t>城市商贸物流</w:t>
      </w:r>
      <w:bookmarkEnd w:id="24"/>
      <w:r>
        <w:rPr>
          <w:rFonts w:hint="eastAsia" w:ascii="黑体" w:hAnsi="黑体" w:eastAsia="黑体"/>
          <w:b/>
          <w:bCs/>
          <w:sz w:val="30"/>
          <w:szCs w:val="30"/>
        </w:rPr>
        <w:t>规划</w:t>
      </w:r>
      <w:bookmarkEnd w:id="23"/>
    </w:p>
    <w:p>
      <w:pPr>
        <w:spacing w:line="560" w:lineRule="exact"/>
        <w:ind w:firstLine="602" w:firstLineChars="200"/>
        <w:rPr>
          <w:rFonts w:hint="eastAsia" w:ascii="仿宋_GB2312" w:hAnsi="黑体" w:eastAsia="仿宋_GB2312"/>
          <w:sz w:val="30"/>
          <w:szCs w:val="30"/>
        </w:rPr>
      </w:pPr>
      <w:r>
        <w:rPr>
          <w:rFonts w:hint="eastAsia" w:ascii="仿宋_GB2312" w:hAnsi="黑体" w:eastAsia="仿宋_GB2312"/>
          <w:b/>
          <w:bCs/>
          <w:sz w:val="30"/>
          <w:szCs w:val="30"/>
        </w:rPr>
        <w:t xml:space="preserve">第三十一条 </w:t>
      </w:r>
      <w:r>
        <w:rPr>
          <w:rFonts w:hint="eastAsia" w:ascii="仿宋_GB2312" w:hAnsi="黑体" w:eastAsia="仿宋_GB2312"/>
          <w:sz w:val="30"/>
          <w:szCs w:val="30"/>
        </w:rPr>
        <w:t>商贸物流发展主要任务</w:t>
      </w:r>
    </w:p>
    <w:p>
      <w:pPr>
        <w:spacing w:line="560" w:lineRule="exact"/>
        <w:ind w:firstLine="600" w:firstLineChars="200"/>
        <w:rPr>
          <w:rFonts w:ascii="Times New Roman" w:hAnsi="Times New Roman" w:eastAsia="仿宋_GB2312" w:cs="Arial"/>
          <w:kern w:val="0"/>
          <w:sz w:val="30"/>
          <w:szCs w:val="30"/>
        </w:rPr>
      </w:pPr>
      <w:r>
        <w:rPr>
          <w:rFonts w:hint="eastAsia" w:ascii="Times New Roman" w:hAnsi="Times New Roman" w:eastAsia="仿宋_GB2312"/>
          <w:sz w:val="30"/>
          <w:szCs w:val="30"/>
        </w:rPr>
        <w:t>1. 优化物流产业空间布局</w:t>
      </w:r>
    </w:p>
    <w:p>
      <w:pPr>
        <w:spacing w:line="560" w:lineRule="exact"/>
        <w:ind w:firstLine="600" w:firstLineChars="200"/>
        <w:contextualSpacing/>
        <w:rPr>
          <w:rFonts w:ascii="Times New Roman" w:hAnsi="Times New Roman" w:eastAsia="仿宋_GB2312" w:cs="Arial"/>
          <w:kern w:val="0"/>
          <w:sz w:val="30"/>
          <w:szCs w:val="30"/>
        </w:rPr>
      </w:pPr>
      <w:r>
        <w:rPr>
          <w:rFonts w:hint="eastAsia" w:ascii="Times New Roman" w:hAnsi="Times New Roman" w:eastAsia="仿宋_GB2312" w:cs="Arial"/>
          <w:kern w:val="0"/>
          <w:sz w:val="30"/>
          <w:szCs w:val="30"/>
        </w:rPr>
        <w:t>结合产业布局和城镇化发展，</w:t>
      </w:r>
      <w:r>
        <w:rPr>
          <w:rFonts w:ascii="Times New Roman" w:hAnsi="Times New Roman" w:eastAsia="仿宋_GB2312" w:cs="Arial"/>
          <w:kern w:val="0"/>
          <w:sz w:val="30"/>
          <w:szCs w:val="30"/>
        </w:rPr>
        <w:t>依托重大交通基础设施，主动对接京津冀经济</w:t>
      </w:r>
      <w:r>
        <w:rPr>
          <w:rFonts w:hint="eastAsia" w:ascii="Times New Roman" w:hAnsi="Times New Roman" w:eastAsia="仿宋_GB2312" w:cs="Arial"/>
          <w:kern w:val="0"/>
          <w:sz w:val="30"/>
          <w:szCs w:val="30"/>
        </w:rPr>
        <w:t>圈</w:t>
      </w:r>
      <w:r>
        <w:rPr>
          <w:rFonts w:ascii="Times New Roman" w:hAnsi="Times New Roman" w:eastAsia="仿宋_GB2312" w:cs="Arial"/>
          <w:kern w:val="0"/>
          <w:sz w:val="30"/>
          <w:szCs w:val="30"/>
        </w:rPr>
        <w:t>、环渤海经济</w:t>
      </w:r>
      <w:r>
        <w:rPr>
          <w:rFonts w:hint="eastAsia" w:ascii="Times New Roman" w:hAnsi="Times New Roman" w:eastAsia="仿宋_GB2312" w:cs="Arial"/>
          <w:kern w:val="0"/>
          <w:sz w:val="30"/>
          <w:szCs w:val="30"/>
        </w:rPr>
        <w:t>圈</w:t>
      </w:r>
      <w:r>
        <w:rPr>
          <w:rFonts w:ascii="Times New Roman" w:hAnsi="Times New Roman" w:eastAsia="仿宋_GB2312" w:cs="Arial"/>
          <w:kern w:val="0"/>
          <w:sz w:val="30"/>
          <w:szCs w:val="30"/>
        </w:rPr>
        <w:t>、中原经济区和</w:t>
      </w:r>
      <w:r>
        <w:rPr>
          <w:rFonts w:hint="eastAsia" w:ascii="Times New Roman" w:hAnsi="Times New Roman" w:eastAsia="仿宋_GB2312" w:cs="Arial"/>
          <w:kern w:val="0"/>
          <w:sz w:val="30"/>
          <w:szCs w:val="30"/>
        </w:rPr>
        <w:t>丝绸</w:t>
      </w:r>
      <w:r>
        <w:rPr>
          <w:rFonts w:ascii="Times New Roman" w:hAnsi="Times New Roman" w:eastAsia="仿宋_GB2312" w:cs="Arial"/>
          <w:kern w:val="0"/>
          <w:sz w:val="30"/>
          <w:szCs w:val="30"/>
        </w:rPr>
        <w:t>之路经济带建设，构建以综合物流园区、专业物流中心为载体，以第三方物流企业、专业物流企业为主体，以现代物流信息平台为</w:t>
      </w:r>
      <w:r>
        <w:rPr>
          <w:rFonts w:hint="eastAsia" w:ascii="Times New Roman" w:hAnsi="Times New Roman" w:eastAsia="仿宋_GB2312" w:cs="Arial"/>
          <w:kern w:val="0"/>
          <w:sz w:val="30"/>
          <w:szCs w:val="30"/>
        </w:rPr>
        <w:t>支持</w:t>
      </w:r>
      <w:r>
        <w:rPr>
          <w:rFonts w:ascii="Times New Roman" w:hAnsi="Times New Roman" w:eastAsia="仿宋_GB2312" w:cs="Arial"/>
          <w:kern w:val="0"/>
          <w:sz w:val="30"/>
          <w:szCs w:val="30"/>
        </w:rPr>
        <w:t>的现代物流体系。</w:t>
      </w:r>
    </w:p>
    <w:p>
      <w:pPr>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2. 完善物流基础设施网络</w:t>
      </w:r>
    </w:p>
    <w:p>
      <w:pPr>
        <w:spacing w:line="560" w:lineRule="exact"/>
        <w:ind w:firstLine="600" w:firstLineChars="200"/>
        <w:contextualSpacing/>
        <w:rPr>
          <w:rFonts w:ascii="Times New Roman" w:hAnsi="Times New Roman" w:eastAsia="仿宋_GB2312" w:cs="Arial"/>
          <w:kern w:val="0"/>
          <w:sz w:val="30"/>
          <w:szCs w:val="30"/>
        </w:rPr>
      </w:pPr>
      <w:r>
        <w:rPr>
          <w:rFonts w:ascii="Times New Roman" w:hAnsi="Times New Roman" w:eastAsia="仿宋_GB2312" w:cs="Arial"/>
          <w:kern w:val="0"/>
          <w:sz w:val="30"/>
          <w:szCs w:val="30"/>
        </w:rPr>
        <w:t>加快形成以公路、铁路为主骨架的物流网络，突出加强铁路基础设施建设，并进一步完善铁路枢纽功能，整合物流节点与设施，完善综合运输通道和交通枢纽节点布局，构建以各主要物流园区为枢纽、以专业物流基地为重点的物流网络体系，为建设区</w:t>
      </w:r>
      <w:r>
        <w:rPr>
          <w:rFonts w:hint="eastAsia" w:ascii="Times New Roman" w:hAnsi="Times New Roman" w:eastAsia="仿宋_GB2312" w:cs="Arial"/>
          <w:kern w:val="0"/>
          <w:sz w:val="30"/>
          <w:szCs w:val="30"/>
        </w:rPr>
        <w:t>域</w:t>
      </w:r>
      <w:r>
        <w:rPr>
          <w:rFonts w:ascii="Times New Roman" w:hAnsi="Times New Roman" w:eastAsia="仿宋_GB2312" w:cs="Arial"/>
          <w:kern w:val="0"/>
          <w:sz w:val="30"/>
          <w:szCs w:val="30"/>
        </w:rPr>
        <w:t>物流中心提供</w:t>
      </w:r>
      <w:r>
        <w:rPr>
          <w:rFonts w:hint="eastAsia" w:ascii="Times New Roman" w:hAnsi="Times New Roman" w:eastAsia="仿宋_GB2312" w:cs="Arial"/>
          <w:kern w:val="0"/>
          <w:sz w:val="30"/>
          <w:szCs w:val="30"/>
        </w:rPr>
        <w:t>强</w:t>
      </w:r>
      <w:r>
        <w:rPr>
          <w:rFonts w:ascii="Times New Roman" w:hAnsi="Times New Roman" w:eastAsia="仿宋_GB2312" w:cs="Arial"/>
          <w:kern w:val="0"/>
          <w:sz w:val="30"/>
          <w:szCs w:val="30"/>
        </w:rPr>
        <w:t>有力的交通支</w:t>
      </w:r>
      <w:r>
        <w:rPr>
          <w:rFonts w:hint="eastAsia" w:ascii="Times New Roman" w:hAnsi="Times New Roman" w:eastAsia="仿宋_GB2312" w:cs="Arial"/>
          <w:kern w:val="0"/>
          <w:sz w:val="30"/>
          <w:szCs w:val="30"/>
        </w:rPr>
        <w:t>撑</w:t>
      </w:r>
      <w:r>
        <w:rPr>
          <w:rFonts w:ascii="Times New Roman" w:hAnsi="Times New Roman" w:eastAsia="仿宋_GB2312" w:cs="Arial"/>
          <w:kern w:val="0"/>
          <w:sz w:val="30"/>
          <w:szCs w:val="30"/>
        </w:rPr>
        <w:t>。</w:t>
      </w:r>
    </w:p>
    <w:p>
      <w:pPr>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3. 发展多式联动新模式</w:t>
      </w:r>
    </w:p>
    <w:p>
      <w:pPr>
        <w:spacing w:line="560" w:lineRule="exact"/>
        <w:ind w:firstLine="600" w:firstLineChars="200"/>
        <w:contextualSpacing/>
        <w:rPr>
          <w:rFonts w:ascii="Times New Roman" w:hAnsi="Times New Roman" w:eastAsia="仿宋_GB2312" w:cs="Arial"/>
          <w:kern w:val="0"/>
          <w:sz w:val="30"/>
          <w:szCs w:val="30"/>
        </w:rPr>
      </w:pPr>
      <w:r>
        <w:rPr>
          <w:rFonts w:ascii="Times New Roman" w:hAnsi="Times New Roman" w:eastAsia="仿宋_GB2312" w:cs="Arial"/>
          <w:kern w:val="0"/>
          <w:sz w:val="30"/>
          <w:szCs w:val="30"/>
        </w:rPr>
        <w:t>发展多式联运，实现铁路、港口码头、机场及公路无缝对接，提高物流设施的系统性、兼容性，加</w:t>
      </w:r>
      <w:r>
        <w:rPr>
          <w:rFonts w:hint="eastAsia" w:ascii="Times New Roman" w:hAnsi="Times New Roman" w:eastAsia="仿宋_GB2312" w:cs="Arial"/>
          <w:kern w:val="0"/>
          <w:sz w:val="30"/>
          <w:szCs w:val="30"/>
        </w:rPr>
        <w:t>强</w:t>
      </w:r>
      <w:r>
        <w:rPr>
          <w:rFonts w:ascii="Times New Roman" w:hAnsi="Times New Roman" w:eastAsia="仿宋_GB2312" w:cs="Arial"/>
          <w:kern w:val="0"/>
          <w:sz w:val="30"/>
          <w:szCs w:val="30"/>
        </w:rPr>
        <w:t>与铁路、航空、水运等运营组织中心的合作，共建通道服务运营平台；建设国内空铁联运、国内公铁联运统一市场；依托平台统一开展货源组织，协同进行运营组织，形成多路径、多方式国际联运发展模式，</w:t>
      </w:r>
      <w:r>
        <w:rPr>
          <w:rFonts w:hint="eastAsia" w:ascii="Times New Roman" w:hAnsi="Times New Roman" w:eastAsia="仿宋_GB2312" w:cs="Arial"/>
          <w:kern w:val="0"/>
          <w:sz w:val="30"/>
          <w:szCs w:val="30"/>
        </w:rPr>
        <w:t>强</w:t>
      </w:r>
      <w:r>
        <w:rPr>
          <w:rFonts w:ascii="Times New Roman" w:hAnsi="Times New Roman" w:eastAsia="仿宋_GB2312" w:cs="Arial"/>
          <w:kern w:val="0"/>
          <w:sz w:val="30"/>
          <w:szCs w:val="30"/>
        </w:rPr>
        <w:t>化我市重点交通枢纽门户和国内供应链物流组织中心地位。深度挖掘我市与京津冀、中原经济区、长三角经济带、</w:t>
      </w:r>
      <w:r>
        <w:rPr>
          <w:rFonts w:hint="eastAsia" w:ascii="Times New Roman" w:hAnsi="Times New Roman" w:eastAsia="仿宋_GB2312" w:cs="Arial"/>
          <w:kern w:val="0"/>
          <w:sz w:val="30"/>
          <w:szCs w:val="30"/>
        </w:rPr>
        <w:t>粤港澳</w:t>
      </w:r>
      <w:r>
        <w:rPr>
          <w:rFonts w:ascii="Times New Roman" w:hAnsi="Times New Roman" w:eastAsia="仿宋_GB2312" w:cs="Arial"/>
          <w:kern w:val="0"/>
          <w:sz w:val="30"/>
          <w:szCs w:val="30"/>
        </w:rPr>
        <w:t>大湾区等区</w:t>
      </w:r>
      <w:r>
        <w:rPr>
          <w:rFonts w:hint="eastAsia" w:ascii="Times New Roman" w:hAnsi="Times New Roman" w:eastAsia="仿宋_GB2312" w:cs="Arial"/>
          <w:kern w:val="0"/>
          <w:sz w:val="30"/>
          <w:szCs w:val="30"/>
        </w:rPr>
        <w:t>域</w:t>
      </w:r>
      <w:r>
        <w:rPr>
          <w:rFonts w:ascii="Times New Roman" w:hAnsi="Times New Roman" w:eastAsia="仿宋_GB2312" w:cs="Arial"/>
          <w:kern w:val="0"/>
          <w:sz w:val="30"/>
          <w:szCs w:val="30"/>
        </w:rPr>
        <w:t>之间的物流需求，积极对接中欧班列，探</w:t>
      </w:r>
      <w:r>
        <w:rPr>
          <w:rFonts w:hint="eastAsia" w:ascii="Times New Roman" w:hAnsi="Times New Roman" w:eastAsia="仿宋_GB2312" w:cs="Arial"/>
          <w:kern w:val="0"/>
          <w:sz w:val="30"/>
          <w:szCs w:val="30"/>
        </w:rPr>
        <w:t>索</w:t>
      </w:r>
      <w:r>
        <w:rPr>
          <w:rFonts w:ascii="Times New Roman" w:hAnsi="Times New Roman" w:eastAsia="仿宋_GB2312" w:cs="Arial"/>
          <w:kern w:val="0"/>
          <w:sz w:val="30"/>
          <w:szCs w:val="30"/>
        </w:rPr>
        <w:t>参与加入国际多式联运跨平台运管组织。加</w:t>
      </w:r>
      <w:r>
        <w:rPr>
          <w:rFonts w:hint="eastAsia" w:ascii="Times New Roman" w:hAnsi="Times New Roman" w:eastAsia="仿宋_GB2312" w:cs="Arial"/>
          <w:kern w:val="0"/>
          <w:sz w:val="30"/>
          <w:szCs w:val="30"/>
        </w:rPr>
        <w:t>强</w:t>
      </w:r>
      <w:r>
        <w:rPr>
          <w:rFonts w:ascii="Times New Roman" w:hAnsi="Times New Roman" w:eastAsia="仿宋_GB2312" w:cs="Arial"/>
          <w:kern w:val="0"/>
          <w:sz w:val="30"/>
          <w:szCs w:val="30"/>
        </w:rPr>
        <w:t>与中原城市群的联系与协作，拓展</w:t>
      </w:r>
      <w:r>
        <w:rPr>
          <w:rFonts w:hint="eastAsia" w:ascii="Times New Roman" w:hAnsi="Times New Roman" w:eastAsia="仿宋_GB2312" w:cs="Arial"/>
          <w:kern w:val="0"/>
          <w:sz w:val="30"/>
          <w:szCs w:val="30"/>
        </w:rPr>
        <w:t>干</w:t>
      </w:r>
      <w:r>
        <w:rPr>
          <w:rFonts w:ascii="Times New Roman" w:hAnsi="Times New Roman" w:eastAsia="仿宋_GB2312" w:cs="Arial"/>
          <w:kern w:val="0"/>
          <w:sz w:val="30"/>
          <w:szCs w:val="30"/>
        </w:rPr>
        <w:t>线运输、区</w:t>
      </w:r>
      <w:r>
        <w:rPr>
          <w:rFonts w:hint="eastAsia" w:ascii="Times New Roman" w:hAnsi="Times New Roman" w:eastAsia="仿宋_GB2312" w:cs="Arial"/>
          <w:kern w:val="0"/>
          <w:sz w:val="30"/>
          <w:szCs w:val="30"/>
        </w:rPr>
        <w:t>域</w:t>
      </w:r>
      <w:r>
        <w:rPr>
          <w:rFonts w:ascii="Times New Roman" w:hAnsi="Times New Roman" w:eastAsia="仿宋_GB2312" w:cs="Arial"/>
          <w:kern w:val="0"/>
          <w:sz w:val="30"/>
          <w:szCs w:val="30"/>
        </w:rPr>
        <w:t>分拨、多式联运等物流服务，加</w:t>
      </w:r>
      <w:r>
        <w:rPr>
          <w:rFonts w:hint="eastAsia" w:ascii="Times New Roman" w:hAnsi="Times New Roman" w:eastAsia="仿宋_GB2312" w:cs="Arial"/>
          <w:kern w:val="0"/>
          <w:sz w:val="30"/>
          <w:szCs w:val="30"/>
        </w:rPr>
        <w:t>强</w:t>
      </w:r>
      <w:r>
        <w:rPr>
          <w:rFonts w:ascii="Times New Roman" w:hAnsi="Times New Roman" w:eastAsia="仿宋_GB2312" w:cs="Arial"/>
          <w:kern w:val="0"/>
          <w:sz w:val="30"/>
          <w:szCs w:val="30"/>
        </w:rPr>
        <w:t>能源、危化品铁水联运货源基地和枢纽功能建设，拓展危化品期货交易。</w:t>
      </w:r>
    </w:p>
    <w:p>
      <w:pPr>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4. 搭建现代物流信息化平台</w:t>
      </w:r>
    </w:p>
    <w:p>
      <w:pPr>
        <w:spacing w:line="560" w:lineRule="exact"/>
        <w:ind w:firstLine="600" w:firstLineChars="200"/>
        <w:contextualSpacing/>
        <w:rPr>
          <w:rFonts w:ascii="Times New Roman" w:hAnsi="Times New Roman" w:eastAsia="仿宋_GB2312" w:cs="Arial"/>
          <w:kern w:val="0"/>
          <w:sz w:val="30"/>
          <w:szCs w:val="30"/>
        </w:rPr>
      </w:pPr>
      <w:r>
        <w:rPr>
          <w:rFonts w:ascii="Times New Roman" w:hAnsi="Times New Roman" w:eastAsia="仿宋_GB2312" w:cs="Arial"/>
          <w:kern w:val="0"/>
          <w:sz w:val="30"/>
          <w:szCs w:val="30"/>
        </w:rPr>
        <w:t>加快实施“互联网+高效物流”。建立基于互联网的长治市物流信息交换平台，推进云计算、物联网、北斗导航及地理信息等技术在物流智能化管理上的应用，利用自动分拣等先进技术，提升物流信息化水平。加快移动互联网、大数据、物联网、云计算、北斗导航、生物识别等现代信息技术在物流跟踪、认证、交易、支付、监管、信用评价等环节的应用推广。推进运输、仓储、配送等物流环节的智能化建设，大力发展产品可追渊、在线车辆调度、产品自动</w:t>
      </w:r>
      <w:r>
        <w:rPr>
          <w:rFonts w:hint="eastAsia" w:ascii="Times New Roman" w:hAnsi="Times New Roman" w:eastAsia="仿宋_GB2312" w:cs="Arial"/>
          <w:kern w:val="0"/>
          <w:sz w:val="30"/>
          <w:szCs w:val="30"/>
        </w:rPr>
        <w:t>分拣</w:t>
      </w:r>
      <w:r>
        <w:rPr>
          <w:rFonts w:ascii="Times New Roman" w:hAnsi="Times New Roman" w:eastAsia="仿宋_GB2312" w:cs="Arial"/>
          <w:kern w:val="0"/>
          <w:sz w:val="30"/>
          <w:szCs w:val="30"/>
        </w:rPr>
        <w:t>、智能快递和智能配货。完善新一代物流信息基础设施建设，实现物流园区、配送中心、无人送货站等物流节点的设施数字化，形成可感知、可视可控的智</w:t>
      </w:r>
      <w:r>
        <w:rPr>
          <w:rFonts w:hint="eastAsia" w:ascii="Times New Roman" w:hAnsi="Times New Roman" w:eastAsia="仿宋_GB2312" w:cs="Arial"/>
          <w:kern w:val="0"/>
          <w:sz w:val="30"/>
          <w:szCs w:val="30"/>
        </w:rPr>
        <w:t>慧</w:t>
      </w:r>
      <w:r>
        <w:rPr>
          <w:rFonts w:ascii="Times New Roman" w:hAnsi="Times New Roman" w:eastAsia="仿宋_GB2312" w:cs="Arial"/>
          <w:kern w:val="0"/>
          <w:sz w:val="30"/>
          <w:szCs w:val="30"/>
        </w:rPr>
        <w:t>物流设施体系。</w:t>
      </w:r>
    </w:p>
    <w:p>
      <w:pPr>
        <w:spacing w:line="560" w:lineRule="exact"/>
        <w:ind w:left="602"/>
        <w:rPr>
          <w:rFonts w:ascii="Times New Roman" w:hAnsi="Times New Roman" w:eastAsia="仿宋_GB2312"/>
          <w:sz w:val="30"/>
          <w:szCs w:val="30"/>
        </w:rPr>
      </w:pPr>
      <w:r>
        <w:rPr>
          <w:rFonts w:hint="eastAsia" w:ascii="Times New Roman" w:hAnsi="Times New Roman" w:eastAsia="仿宋_GB2312"/>
          <w:sz w:val="30"/>
          <w:szCs w:val="30"/>
        </w:rPr>
        <w:t>5. 推广发展绿色物流</w:t>
      </w:r>
    </w:p>
    <w:p>
      <w:pPr>
        <w:spacing w:line="560" w:lineRule="exact"/>
        <w:ind w:firstLine="600" w:firstLineChars="200"/>
        <w:contextualSpacing/>
        <w:rPr>
          <w:rFonts w:ascii="Times New Roman" w:hAnsi="Times New Roman" w:eastAsia="仿宋_GB2312" w:cs="Arial"/>
          <w:kern w:val="0"/>
          <w:sz w:val="30"/>
          <w:szCs w:val="30"/>
        </w:rPr>
      </w:pPr>
      <w:r>
        <w:rPr>
          <w:rFonts w:ascii="Times New Roman" w:hAnsi="Times New Roman" w:eastAsia="仿宋_GB2312" w:cs="Arial"/>
          <w:kern w:val="0"/>
          <w:sz w:val="30"/>
          <w:szCs w:val="30"/>
        </w:rPr>
        <w:t>整合现有物流资源，优化资源配置，提高资源利用率，减少资</w:t>
      </w:r>
      <w:r>
        <w:rPr>
          <w:rFonts w:hint="eastAsia" w:ascii="Times New Roman" w:hAnsi="Times New Roman" w:eastAsia="仿宋_GB2312" w:cs="Arial"/>
          <w:kern w:val="0"/>
          <w:sz w:val="30"/>
          <w:szCs w:val="30"/>
        </w:rPr>
        <w:t>源</w:t>
      </w:r>
      <w:r>
        <w:rPr>
          <w:rFonts w:ascii="Times New Roman" w:hAnsi="Times New Roman" w:eastAsia="仿宋_GB2312" w:cs="Arial"/>
          <w:kern w:val="0"/>
          <w:sz w:val="30"/>
          <w:szCs w:val="30"/>
        </w:rPr>
        <w:t>浪费。发展绿色运输，优化运输结构，合理配置各类运输方式，提高铁路运输比重，推广应用铁路散堆装货物运输抑尘技术，促进节能减排。合理规划运输路径，努力优化配送路线，在确保主车、挂车安全匹配的前提下，大力发展甩挂运输、共同配送、统一配送</w:t>
      </w:r>
      <w:r>
        <w:rPr>
          <w:rFonts w:hint="eastAsia" w:ascii="Times New Roman" w:hAnsi="Times New Roman" w:eastAsia="仿宋_GB2312" w:cs="Arial"/>
          <w:kern w:val="0"/>
          <w:sz w:val="30"/>
          <w:szCs w:val="30"/>
        </w:rPr>
        <w:t>等</w:t>
      </w:r>
      <w:r>
        <w:rPr>
          <w:rFonts w:ascii="Times New Roman" w:hAnsi="Times New Roman" w:eastAsia="仿宋_GB2312" w:cs="Arial"/>
          <w:kern w:val="0"/>
          <w:sz w:val="30"/>
          <w:szCs w:val="30"/>
        </w:rPr>
        <w:t>先进的物流组织模式。提高储运工具的信息化水平，减少返空、</w:t>
      </w:r>
      <w:r>
        <w:rPr>
          <w:rFonts w:hint="eastAsia" w:ascii="Times New Roman" w:hAnsi="Times New Roman" w:eastAsia="仿宋_GB2312" w:cs="Arial"/>
          <w:kern w:val="0"/>
          <w:sz w:val="30"/>
          <w:szCs w:val="30"/>
        </w:rPr>
        <w:t>迂</w:t>
      </w:r>
      <w:r>
        <w:rPr>
          <w:rFonts w:ascii="Times New Roman" w:hAnsi="Times New Roman" w:eastAsia="仿宋_GB2312" w:cs="Arial"/>
          <w:kern w:val="0"/>
          <w:sz w:val="30"/>
          <w:szCs w:val="30"/>
        </w:rPr>
        <w:t>回运输，提高配送效率和车辆装载率。鼓励采用新能源运输工具。鼓励采用低能耗、低排放运输工具和节能型绿色仓储设施，加大老旧车</w:t>
      </w:r>
      <w:r>
        <w:rPr>
          <w:rFonts w:hint="eastAsia" w:ascii="Times New Roman" w:hAnsi="Times New Roman" w:eastAsia="仿宋_GB2312" w:cs="Arial"/>
          <w:kern w:val="0"/>
          <w:sz w:val="30"/>
          <w:szCs w:val="30"/>
        </w:rPr>
        <w:t>淘汰</w:t>
      </w:r>
      <w:r>
        <w:rPr>
          <w:rFonts w:ascii="Times New Roman" w:hAnsi="Times New Roman" w:eastAsia="仿宋_GB2312" w:cs="Arial"/>
          <w:kern w:val="0"/>
          <w:sz w:val="30"/>
          <w:szCs w:val="30"/>
        </w:rPr>
        <w:t>力度，推广集装单元化技术。发展绿色包装，鼓励包装重复使用和回收再利用，提高托盘等标准化器具和包装物的循环利用水平，构建低环境负荷的循环物流系统。</w:t>
      </w:r>
    </w:p>
    <w:p>
      <w:pPr>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cs="Arial"/>
          <w:kern w:val="0"/>
          <w:sz w:val="30"/>
          <w:szCs w:val="30"/>
        </w:rPr>
        <w:t xml:space="preserve">6. </w:t>
      </w:r>
      <w:r>
        <w:rPr>
          <w:rFonts w:hint="eastAsia" w:ascii="Times New Roman" w:hAnsi="Times New Roman" w:eastAsia="仿宋_GB2312"/>
          <w:sz w:val="30"/>
          <w:szCs w:val="30"/>
        </w:rPr>
        <w:t>发展冷链物流</w:t>
      </w:r>
    </w:p>
    <w:p>
      <w:pPr>
        <w:spacing w:line="560" w:lineRule="exact"/>
        <w:ind w:firstLine="600" w:firstLineChars="200"/>
        <w:rPr>
          <w:rFonts w:hint="eastAsia" w:ascii="仿宋_GB2312" w:hAnsi="黑体" w:eastAsia="仿宋_GB2312"/>
          <w:sz w:val="30"/>
          <w:szCs w:val="30"/>
        </w:rPr>
      </w:pPr>
      <w:r>
        <w:rPr>
          <w:rFonts w:hint="eastAsia" w:ascii="仿宋_GB2312" w:hAnsi="黑体" w:eastAsia="仿宋_GB2312"/>
          <w:sz w:val="30"/>
          <w:szCs w:val="30"/>
        </w:rPr>
        <w:t>根据物流园区、配送中心所承载功能，以及主要经营品种等实际，贯穿城市商贸物流配送体系，并与农产品流通体系建设相配套，合理布局冷链物流基础设施，提升冷链流通率。</w:t>
      </w:r>
    </w:p>
    <w:p>
      <w:pPr>
        <w:spacing w:line="560" w:lineRule="exact"/>
        <w:ind w:firstLine="600" w:firstLineChars="200"/>
        <w:rPr>
          <w:rFonts w:hint="eastAsia" w:ascii="仿宋_GB2312" w:hAnsi="黑体" w:eastAsia="仿宋_GB2312"/>
          <w:sz w:val="30"/>
          <w:szCs w:val="30"/>
        </w:rPr>
      </w:pPr>
      <w:r>
        <w:rPr>
          <w:rFonts w:hint="eastAsia" w:ascii="仿宋_GB2312" w:hAnsi="黑体" w:eastAsia="仿宋_GB2312"/>
          <w:sz w:val="30"/>
          <w:szCs w:val="30"/>
        </w:rPr>
        <w:t>（1）完善销地冷链物流设施布局。鼓励农产品市场以及商超、生鲜连锁店等零售网点冷链物流设施改造升级。加大冷链前置仓建设力度，鼓励销地冷链集配中心、中央厨房等整合</w:t>
      </w:r>
      <w:r>
        <w:rPr>
          <w:rFonts w:hint="eastAsia" w:eastAsia="仿宋_GB2312"/>
          <w:sz w:val="30"/>
          <w:szCs w:val="30"/>
        </w:rPr>
        <w:t>“</w:t>
      </w:r>
      <w:r>
        <w:rPr>
          <w:rFonts w:hint="eastAsia" w:ascii="仿宋_GB2312" w:hAnsi="黑体" w:eastAsia="仿宋_GB2312"/>
          <w:sz w:val="30"/>
          <w:szCs w:val="30"/>
        </w:rPr>
        <w:t>最后一公里”配送资源。</w:t>
      </w:r>
    </w:p>
    <w:p>
      <w:pPr>
        <w:spacing w:line="560" w:lineRule="exact"/>
        <w:ind w:firstLine="600" w:firstLineChars="200"/>
        <w:rPr>
          <w:rFonts w:hint="eastAsia" w:ascii="仿宋_GB2312" w:hAnsi="黑体" w:eastAsia="仿宋_GB2312"/>
          <w:sz w:val="30"/>
          <w:szCs w:val="30"/>
        </w:rPr>
      </w:pPr>
      <w:r>
        <w:rPr>
          <w:rFonts w:hint="eastAsia" w:ascii="仿宋_GB2312" w:hAnsi="黑体" w:eastAsia="仿宋_GB2312"/>
          <w:sz w:val="30"/>
          <w:szCs w:val="30"/>
        </w:rPr>
        <w:t>（2）完善集散型冷链物流设施布局。依托紫坊农产品综合交易市场、上党天禾农产品批发市场等集散型农副产品批发市场，推进潞卓冷链仓储配送中心等项目建设，打造一批城市冷链物流配送枢纽</w:t>
      </w:r>
      <w:bookmarkStart w:id="25" w:name="bookmark49"/>
      <w:bookmarkEnd w:id="25"/>
      <w:r>
        <w:rPr>
          <w:rFonts w:hint="eastAsia" w:ascii="仿宋_GB2312" w:hAnsi="黑体" w:eastAsia="仿宋_GB2312"/>
          <w:sz w:val="30"/>
          <w:szCs w:val="30"/>
        </w:rPr>
        <w:t>。</w:t>
      </w:r>
    </w:p>
    <w:p>
      <w:pPr>
        <w:spacing w:line="560" w:lineRule="exact"/>
        <w:ind w:firstLine="602" w:firstLineChars="200"/>
        <w:rPr>
          <w:rFonts w:hint="eastAsia" w:ascii="仿宋_GB2312" w:hAnsi="黑体" w:eastAsia="仿宋_GB2312"/>
          <w:sz w:val="30"/>
          <w:szCs w:val="30"/>
        </w:rPr>
      </w:pPr>
      <w:r>
        <w:rPr>
          <w:rFonts w:hint="eastAsia" w:ascii="仿宋_GB2312" w:hAnsi="黑体" w:eastAsia="仿宋_GB2312"/>
          <w:b/>
          <w:bCs/>
          <w:sz w:val="30"/>
          <w:szCs w:val="30"/>
        </w:rPr>
        <w:t xml:space="preserve">第三十二条 </w:t>
      </w:r>
      <w:r>
        <w:rPr>
          <w:rFonts w:hint="eastAsia" w:ascii="Times New Roman" w:hAnsi="Times New Roman" w:eastAsia="黑体"/>
          <w:kern w:val="0"/>
          <w:sz w:val="32"/>
          <w:szCs w:val="30"/>
        </w:rPr>
        <w:t>商贸物流园区规划布局</w:t>
      </w:r>
    </w:p>
    <w:p>
      <w:pPr>
        <w:spacing w:line="560" w:lineRule="exact"/>
        <w:ind w:firstLine="600" w:firstLineChars="200"/>
        <w:contextualSpacing/>
        <w:rPr>
          <w:rFonts w:hint="eastAsia" w:ascii="仿宋_GB2312" w:hAnsi="黑体" w:eastAsia="仿宋_GB2312"/>
          <w:sz w:val="30"/>
          <w:szCs w:val="30"/>
        </w:rPr>
      </w:pPr>
      <w:bookmarkStart w:id="26" w:name="_Hlk183683347"/>
      <w:r>
        <w:rPr>
          <w:rFonts w:hint="eastAsia" w:ascii="Times New Roman" w:hAnsi="Times New Roman" w:eastAsia="仿宋_GB2312" w:cs="Arial"/>
          <w:kern w:val="0"/>
          <w:sz w:val="30"/>
          <w:szCs w:val="30"/>
        </w:rPr>
        <w:t>从服务生产、促进生活消费和商品流通的角度出发，与重大交通基础设施及商品交易市场集聚区建设相协调，结合仓储物流用地布局，在临近高速路口、铁路场站、机场等交通便利的位置打造3处商贸物流园区，引导商贸物流集约高效发展</w:t>
      </w:r>
      <w:r>
        <w:rPr>
          <w:rFonts w:ascii="Times New Roman" w:hAnsi="Times New Roman" w:eastAsia="仿宋_GB2312" w:cs="Arial"/>
          <w:kern w:val="0"/>
          <w:sz w:val="30"/>
          <w:szCs w:val="30"/>
        </w:rPr>
        <w:t>。</w:t>
      </w:r>
    </w:p>
    <w:p>
      <w:pPr>
        <w:spacing w:line="560" w:lineRule="exact"/>
        <w:ind w:firstLine="600" w:firstLineChars="200"/>
        <w:rPr>
          <w:rFonts w:hint="eastAsia" w:ascii="楷体" w:hAnsi="楷体" w:eastAsia="楷体" w:cs="仿宋_GB2312"/>
          <w:sz w:val="24"/>
          <w:szCs w:val="24"/>
        </w:rPr>
      </w:pPr>
      <w:r>
        <w:rPr>
          <w:rFonts w:hint="eastAsia" w:ascii="仿宋_GB2312" w:hAnsi="黑体" w:eastAsia="仿宋_GB2312"/>
          <w:sz w:val="30"/>
          <w:szCs w:val="30"/>
        </w:rPr>
        <w:t>依托物流园区，构建中心城区“物流园区+配送中心”城市配送体系，引导农产品批发市场、连锁零售等大型商贸企业建设配送中心，形成二级商贸物流节点。为城市提供快速消费品、农副产品、电子商务的专业化配送服务，形成覆盖市区，辐射区域的商贸物流体系。</w:t>
      </w:r>
      <w:bookmarkEnd w:id="26"/>
    </w:p>
    <w:p>
      <w:pPr>
        <w:spacing w:line="560" w:lineRule="exact"/>
        <w:jc w:val="center"/>
        <w:rPr>
          <w:rFonts w:hint="eastAsia" w:ascii="楷体" w:hAnsi="楷体" w:eastAsia="楷体" w:cs="仿宋_GB2312"/>
          <w:sz w:val="24"/>
          <w:szCs w:val="24"/>
        </w:rPr>
      </w:pPr>
      <w:r>
        <w:rPr>
          <w:rFonts w:hint="eastAsia" w:ascii="楷体" w:hAnsi="楷体" w:eastAsia="楷体" w:cs="仿宋_GB2312"/>
          <w:sz w:val="24"/>
          <w:szCs w:val="24"/>
        </w:rPr>
        <w:t>表3-6-1 中心城区商贸物流园区规划一览表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2831"/>
        <w:gridCol w:w="3503"/>
        <w:gridCol w:w="1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472" w:type="pct"/>
            <w:vAlign w:val="center"/>
          </w:tcPr>
          <w:p>
            <w:pPr>
              <w:pStyle w:val="17"/>
              <w:spacing w:before="0" w:beforeAutospacing="0" w:after="0" w:afterAutospacing="0"/>
              <w:jc w:val="center"/>
              <w:rPr>
                <w:rFonts w:hint="eastAsia"/>
                <w:b/>
                <w:sz w:val="20"/>
                <w:szCs w:val="20"/>
              </w:rPr>
            </w:pPr>
            <w:r>
              <w:rPr>
                <w:b/>
                <w:sz w:val="20"/>
                <w:szCs w:val="20"/>
              </w:rPr>
              <w:t>序号</w:t>
            </w:r>
          </w:p>
        </w:tc>
        <w:tc>
          <w:tcPr>
            <w:tcW w:w="1661" w:type="pct"/>
            <w:vAlign w:val="center"/>
          </w:tcPr>
          <w:p>
            <w:pPr>
              <w:pStyle w:val="17"/>
              <w:spacing w:before="0" w:beforeAutospacing="0" w:after="0" w:afterAutospacing="0"/>
              <w:jc w:val="center"/>
              <w:rPr>
                <w:rFonts w:hint="eastAsia"/>
                <w:b/>
                <w:sz w:val="20"/>
                <w:szCs w:val="20"/>
              </w:rPr>
            </w:pPr>
            <w:r>
              <w:rPr>
                <w:b/>
                <w:sz w:val="20"/>
                <w:szCs w:val="20"/>
              </w:rPr>
              <w:t>名称</w:t>
            </w:r>
          </w:p>
        </w:tc>
        <w:tc>
          <w:tcPr>
            <w:tcW w:w="2055" w:type="pct"/>
            <w:vAlign w:val="center"/>
          </w:tcPr>
          <w:p>
            <w:pPr>
              <w:pStyle w:val="17"/>
              <w:spacing w:before="0" w:beforeAutospacing="0" w:after="0" w:afterAutospacing="0"/>
              <w:jc w:val="center"/>
              <w:rPr>
                <w:rFonts w:hint="eastAsia"/>
                <w:b/>
                <w:sz w:val="20"/>
                <w:szCs w:val="20"/>
              </w:rPr>
            </w:pPr>
            <w:r>
              <w:rPr>
                <w:b/>
                <w:sz w:val="20"/>
                <w:szCs w:val="20"/>
              </w:rPr>
              <w:t>位置</w:t>
            </w:r>
          </w:p>
        </w:tc>
        <w:tc>
          <w:tcPr>
            <w:tcW w:w="812" w:type="pct"/>
            <w:vAlign w:val="center"/>
          </w:tcPr>
          <w:p>
            <w:pPr>
              <w:pStyle w:val="17"/>
              <w:spacing w:before="0" w:beforeAutospacing="0" w:after="0" w:afterAutospacing="0"/>
              <w:jc w:val="center"/>
              <w:rPr>
                <w:rFonts w:hint="eastAsia"/>
                <w:b/>
                <w:sz w:val="20"/>
                <w:szCs w:val="20"/>
              </w:rPr>
            </w:pPr>
            <w:r>
              <w:rPr>
                <w:rFonts w:hint="eastAsia"/>
                <w:b/>
                <w:sz w:val="20"/>
                <w:szCs w:val="20"/>
              </w:rPr>
              <w:t>规划</w:t>
            </w:r>
            <w:r>
              <w:rPr>
                <w:b/>
                <w:sz w:val="20"/>
                <w:szCs w:val="20"/>
              </w:rPr>
              <w:t>意向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2" w:type="pct"/>
            <w:vAlign w:val="center"/>
          </w:tcPr>
          <w:p>
            <w:pPr>
              <w:pStyle w:val="17"/>
              <w:spacing w:before="0" w:beforeAutospacing="0" w:after="0" w:afterAutospacing="0"/>
              <w:jc w:val="center"/>
              <w:rPr>
                <w:rFonts w:hint="eastAsia"/>
                <w:bCs/>
                <w:sz w:val="20"/>
                <w:szCs w:val="20"/>
              </w:rPr>
            </w:pPr>
            <w:r>
              <w:rPr>
                <w:sz w:val="20"/>
                <w:szCs w:val="20"/>
              </w:rPr>
              <w:t>1</w:t>
            </w:r>
          </w:p>
        </w:tc>
        <w:tc>
          <w:tcPr>
            <w:tcW w:w="1661" w:type="pct"/>
            <w:vAlign w:val="center"/>
          </w:tcPr>
          <w:p>
            <w:pPr>
              <w:pStyle w:val="17"/>
              <w:spacing w:before="0" w:beforeAutospacing="0" w:after="0" w:afterAutospacing="0"/>
              <w:jc w:val="center"/>
              <w:rPr>
                <w:rFonts w:hint="eastAsia"/>
                <w:bCs/>
                <w:sz w:val="20"/>
                <w:szCs w:val="20"/>
              </w:rPr>
            </w:pPr>
            <w:r>
              <w:rPr>
                <w:rFonts w:hint="eastAsia"/>
                <w:sz w:val="20"/>
                <w:szCs w:val="20"/>
              </w:rPr>
              <w:t>王村机场商贸物流园区</w:t>
            </w:r>
          </w:p>
        </w:tc>
        <w:tc>
          <w:tcPr>
            <w:tcW w:w="2055" w:type="pct"/>
            <w:vAlign w:val="center"/>
          </w:tcPr>
          <w:p>
            <w:pPr>
              <w:pStyle w:val="17"/>
              <w:spacing w:before="0" w:beforeAutospacing="0" w:after="0" w:afterAutospacing="0"/>
              <w:jc w:val="both"/>
              <w:rPr>
                <w:rFonts w:hint="eastAsia"/>
                <w:bCs/>
                <w:sz w:val="20"/>
                <w:szCs w:val="20"/>
              </w:rPr>
            </w:pPr>
            <w:r>
              <w:rPr>
                <w:rFonts w:hint="eastAsia"/>
                <w:sz w:val="20"/>
                <w:szCs w:val="20"/>
              </w:rPr>
              <w:t>王村机场以西</w:t>
            </w:r>
          </w:p>
        </w:tc>
        <w:tc>
          <w:tcPr>
            <w:tcW w:w="812" w:type="pct"/>
            <w:vAlign w:val="center"/>
          </w:tcPr>
          <w:p>
            <w:pPr>
              <w:pStyle w:val="17"/>
              <w:spacing w:before="0" w:beforeAutospacing="0" w:after="0" w:afterAutospacing="0"/>
              <w:jc w:val="center"/>
              <w:rPr>
                <w:rFonts w:hint="eastAsia"/>
                <w:bCs/>
                <w:sz w:val="20"/>
                <w:szCs w:val="20"/>
              </w:rPr>
            </w:pPr>
            <w:r>
              <w:rPr>
                <w:rFonts w:hint="eastAsia"/>
                <w:sz w:val="20"/>
                <w:szCs w:val="20"/>
              </w:rPr>
              <w:t>近期</w:t>
            </w:r>
            <w:r>
              <w:rPr>
                <w:sz w:val="20"/>
                <w:szCs w:val="20"/>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2" w:type="pct"/>
            <w:vAlign w:val="center"/>
          </w:tcPr>
          <w:p>
            <w:pPr>
              <w:pStyle w:val="17"/>
              <w:spacing w:before="0" w:beforeAutospacing="0" w:after="0" w:afterAutospacing="0"/>
              <w:jc w:val="center"/>
              <w:rPr>
                <w:rFonts w:hint="eastAsia"/>
                <w:bCs/>
                <w:sz w:val="20"/>
                <w:szCs w:val="20"/>
              </w:rPr>
            </w:pPr>
            <w:r>
              <w:rPr>
                <w:sz w:val="20"/>
                <w:szCs w:val="20"/>
              </w:rPr>
              <w:t>2</w:t>
            </w:r>
          </w:p>
        </w:tc>
        <w:tc>
          <w:tcPr>
            <w:tcW w:w="1661" w:type="pct"/>
            <w:vAlign w:val="center"/>
          </w:tcPr>
          <w:p>
            <w:pPr>
              <w:pStyle w:val="17"/>
              <w:spacing w:before="0" w:beforeAutospacing="0" w:after="0" w:afterAutospacing="0"/>
              <w:jc w:val="center"/>
              <w:rPr>
                <w:rFonts w:hint="eastAsia"/>
                <w:bCs/>
                <w:sz w:val="20"/>
                <w:szCs w:val="20"/>
              </w:rPr>
            </w:pPr>
            <w:r>
              <w:rPr>
                <w:rFonts w:hint="eastAsia"/>
                <w:sz w:val="20"/>
                <w:szCs w:val="20"/>
              </w:rPr>
              <w:t>西二环商贸物流园区</w:t>
            </w:r>
          </w:p>
        </w:tc>
        <w:tc>
          <w:tcPr>
            <w:tcW w:w="2055" w:type="pct"/>
            <w:vAlign w:val="center"/>
          </w:tcPr>
          <w:p>
            <w:pPr>
              <w:pStyle w:val="17"/>
              <w:spacing w:before="0" w:beforeAutospacing="0" w:after="0" w:afterAutospacing="0"/>
              <w:rPr>
                <w:rFonts w:hint="eastAsia"/>
                <w:bCs/>
                <w:sz w:val="20"/>
                <w:szCs w:val="20"/>
              </w:rPr>
            </w:pPr>
            <w:r>
              <w:rPr>
                <w:rFonts w:hint="eastAsia"/>
                <w:sz w:val="20"/>
                <w:szCs w:val="20"/>
              </w:rPr>
              <w:t>西二环与五针街交叉口一带，西二环以东五一街以南</w:t>
            </w:r>
          </w:p>
        </w:tc>
        <w:tc>
          <w:tcPr>
            <w:tcW w:w="812" w:type="pct"/>
            <w:vAlign w:val="center"/>
          </w:tcPr>
          <w:p>
            <w:pPr>
              <w:pStyle w:val="17"/>
              <w:spacing w:before="0" w:beforeAutospacing="0" w:after="0" w:afterAutospacing="0"/>
              <w:jc w:val="center"/>
              <w:rPr>
                <w:rFonts w:hint="eastAsia"/>
                <w:bCs/>
                <w:sz w:val="20"/>
                <w:szCs w:val="20"/>
              </w:rPr>
            </w:pPr>
            <w:r>
              <w:rPr>
                <w:rFonts w:hint="eastAsia"/>
                <w:sz w:val="20"/>
                <w:szCs w:val="20"/>
              </w:rPr>
              <w:t>近期</w:t>
            </w:r>
            <w:r>
              <w:rPr>
                <w:sz w:val="20"/>
                <w:szCs w:val="20"/>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2" w:type="pct"/>
            <w:vAlign w:val="center"/>
          </w:tcPr>
          <w:p>
            <w:pPr>
              <w:pStyle w:val="17"/>
              <w:spacing w:before="0" w:beforeAutospacing="0" w:after="0" w:afterAutospacing="0"/>
              <w:jc w:val="center"/>
              <w:rPr>
                <w:rFonts w:hint="eastAsia"/>
                <w:bCs/>
                <w:sz w:val="20"/>
                <w:szCs w:val="20"/>
              </w:rPr>
            </w:pPr>
            <w:r>
              <w:rPr>
                <w:sz w:val="20"/>
                <w:szCs w:val="20"/>
              </w:rPr>
              <w:t>3</w:t>
            </w:r>
          </w:p>
        </w:tc>
        <w:tc>
          <w:tcPr>
            <w:tcW w:w="1661" w:type="pct"/>
            <w:vAlign w:val="center"/>
          </w:tcPr>
          <w:p>
            <w:pPr>
              <w:pStyle w:val="17"/>
              <w:spacing w:before="0" w:beforeAutospacing="0" w:after="0" w:afterAutospacing="0"/>
              <w:jc w:val="center"/>
              <w:rPr>
                <w:rFonts w:hint="eastAsia"/>
                <w:bCs/>
                <w:sz w:val="20"/>
                <w:szCs w:val="20"/>
              </w:rPr>
            </w:pPr>
            <w:r>
              <w:rPr>
                <w:rFonts w:hint="eastAsia"/>
                <w:sz w:val="20"/>
                <w:szCs w:val="20"/>
              </w:rPr>
              <w:t>上党经开区商贸物流园区</w:t>
            </w:r>
          </w:p>
        </w:tc>
        <w:tc>
          <w:tcPr>
            <w:tcW w:w="2055" w:type="pct"/>
            <w:vAlign w:val="center"/>
          </w:tcPr>
          <w:p>
            <w:pPr>
              <w:pStyle w:val="17"/>
              <w:spacing w:before="0" w:beforeAutospacing="0" w:after="0" w:afterAutospacing="0"/>
              <w:jc w:val="both"/>
              <w:rPr>
                <w:rFonts w:hint="eastAsia"/>
                <w:bCs/>
                <w:sz w:val="20"/>
                <w:szCs w:val="20"/>
              </w:rPr>
            </w:pPr>
            <w:r>
              <w:rPr>
                <w:rFonts w:hint="eastAsia"/>
                <w:sz w:val="20"/>
                <w:szCs w:val="20"/>
              </w:rPr>
              <w:t>英雄南路与乌海线交叉口东北</w:t>
            </w:r>
          </w:p>
        </w:tc>
        <w:tc>
          <w:tcPr>
            <w:tcW w:w="812" w:type="pct"/>
            <w:vAlign w:val="center"/>
          </w:tcPr>
          <w:p>
            <w:pPr>
              <w:pStyle w:val="17"/>
              <w:spacing w:before="0" w:beforeAutospacing="0" w:after="0" w:afterAutospacing="0"/>
              <w:jc w:val="center"/>
              <w:rPr>
                <w:rFonts w:hint="eastAsia"/>
                <w:bCs/>
                <w:sz w:val="20"/>
                <w:szCs w:val="20"/>
              </w:rPr>
            </w:pPr>
            <w:r>
              <w:rPr>
                <w:rFonts w:hint="eastAsia"/>
                <w:sz w:val="20"/>
                <w:szCs w:val="20"/>
              </w:rPr>
              <w:t>近期</w:t>
            </w:r>
            <w:r>
              <w:rPr>
                <w:sz w:val="20"/>
                <w:szCs w:val="20"/>
              </w:rPr>
              <w:t>新建</w:t>
            </w:r>
          </w:p>
        </w:tc>
      </w:tr>
    </w:tbl>
    <w:p>
      <w:pPr>
        <w:spacing w:before="156" w:beforeLines="50" w:after="156" w:afterLines="50" w:line="560" w:lineRule="exact"/>
        <w:ind w:firstLine="602" w:firstLineChars="200"/>
        <w:outlineLvl w:val="1"/>
        <w:rPr>
          <w:rFonts w:hint="eastAsia" w:ascii="黑体" w:hAnsi="黑体" w:eastAsia="黑体"/>
          <w:b/>
          <w:bCs/>
          <w:sz w:val="30"/>
          <w:szCs w:val="30"/>
        </w:rPr>
      </w:pPr>
      <w:bookmarkStart w:id="27" w:name="_Toc183683957"/>
      <w:r>
        <w:rPr>
          <w:rFonts w:hint="eastAsia" w:ascii="黑体" w:hAnsi="黑体" w:eastAsia="黑体"/>
          <w:b/>
          <w:bCs/>
          <w:sz w:val="30"/>
          <w:szCs w:val="30"/>
        </w:rPr>
        <w:t>第七节 近期建设规划</w:t>
      </w:r>
      <w:bookmarkEnd w:id="27"/>
    </w:p>
    <w:p>
      <w:pPr>
        <w:spacing w:line="560" w:lineRule="exact"/>
        <w:ind w:firstLine="602" w:firstLineChars="200"/>
        <w:rPr>
          <w:rFonts w:hint="eastAsia" w:ascii="仿宋_GB2312" w:hAnsi="黑体" w:eastAsia="仿宋_GB2312"/>
          <w:sz w:val="30"/>
          <w:szCs w:val="30"/>
        </w:rPr>
      </w:pPr>
      <w:r>
        <w:rPr>
          <w:rFonts w:hint="eastAsia" w:ascii="仿宋_GB2312" w:hAnsi="黑体" w:eastAsia="仿宋_GB2312"/>
          <w:b/>
          <w:bCs/>
          <w:sz w:val="30"/>
          <w:szCs w:val="30"/>
        </w:rPr>
        <w:t xml:space="preserve">第三十三条 </w:t>
      </w:r>
      <w:r>
        <w:rPr>
          <w:rFonts w:hint="eastAsia" w:ascii="仿宋_GB2312" w:hAnsi="黑体" w:eastAsia="仿宋_GB2312"/>
          <w:sz w:val="30"/>
          <w:szCs w:val="30"/>
        </w:rPr>
        <w:t>近期发展目标</w:t>
      </w:r>
    </w:p>
    <w:p>
      <w:pPr>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到2025年，</w:t>
      </w:r>
      <w:r>
        <w:rPr>
          <w:rFonts w:hint="eastAsia" w:ascii="Times New Roman" w:hAnsi="Times New Roman" w:eastAsia="仿宋_GB2312"/>
          <w:sz w:val="30"/>
          <w:szCs w:val="30"/>
        </w:rPr>
        <w:t>全</w:t>
      </w:r>
      <w:r>
        <w:rPr>
          <w:rFonts w:ascii="Times New Roman" w:hAnsi="Times New Roman" w:eastAsia="仿宋_GB2312"/>
          <w:sz w:val="30"/>
          <w:szCs w:val="30"/>
        </w:rPr>
        <w:t>市社会消费品零售总额力争实现</w:t>
      </w:r>
      <w:r>
        <w:rPr>
          <w:rFonts w:hint="eastAsia" w:ascii="Times New Roman" w:hAnsi="Times New Roman" w:eastAsia="仿宋_GB2312"/>
          <w:sz w:val="30"/>
          <w:szCs w:val="30"/>
        </w:rPr>
        <w:t>815</w:t>
      </w:r>
      <w:r>
        <w:rPr>
          <w:rFonts w:ascii="Times New Roman" w:hAnsi="Times New Roman" w:eastAsia="仿宋_GB2312"/>
          <w:sz w:val="30"/>
          <w:szCs w:val="30"/>
        </w:rPr>
        <w:t>亿元，</w:t>
      </w:r>
      <w:r>
        <w:rPr>
          <w:rFonts w:hint="eastAsia" w:ascii="Times New Roman" w:hAnsi="Times New Roman" w:eastAsia="仿宋_GB2312"/>
          <w:sz w:val="30"/>
          <w:szCs w:val="30"/>
        </w:rPr>
        <w:t>中心城区</w:t>
      </w:r>
      <w:r>
        <w:rPr>
          <w:rFonts w:ascii="Times New Roman" w:hAnsi="Times New Roman" w:eastAsia="仿宋_GB2312"/>
          <w:sz w:val="30"/>
          <w:szCs w:val="30"/>
        </w:rPr>
        <w:t>零售商业总规模</w:t>
      </w:r>
      <w:r>
        <w:rPr>
          <w:rFonts w:hint="eastAsia" w:ascii="Times New Roman" w:hAnsi="Times New Roman" w:eastAsia="仿宋_GB2312"/>
          <w:sz w:val="30"/>
          <w:szCs w:val="30"/>
        </w:rPr>
        <w:t>达到202万平方米，人均零售商业面积达到1.72平方米</w:t>
      </w:r>
      <w:r>
        <w:rPr>
          <w:rFonts w:ascii="Times New Roman" w:hAnsi="Times New Roman" w:eastAsia="仿宋_GB2312"/>
          <w:sz w:val="30"/>
          <w:szCs w:val="30"/>
        </w:rPr>
        <w:t>。</w:t>
      </w:r>
      <w:r>
        <w:rPr>
          <w:rFonts w:hint="eastAsia" w:ascii="Times New Roman" w:hAnsi="Times New Roman" w:eastAsia="仿宋_GB2312"/>
          <w:sz w:val="30"/>
          <w:szCs w:val="30"/>
        </w:rPr>
        <w:t>商业中心体系初具雏形，社区商业实现基本覆盖，涌现一批高品质特色商业街，新型业态蓬勃发展，线上线下高度融合。基本形成空间集聚、结构优化、设施完善、技术先进的城市商业发展体系。</w:t>
      </w:r>
    </w:p>
    <w:p>
      <w:pPr>
        <w:spacing w:line="560" w:lineRule="exact"/>
        <w:ind w:firstLine="602" w:firstLineChars="200"/>
        <w:rPr>
          <w:rFonts w:hint="eastAsia" w:ascii="仿宋_GB2312" w:hAnsi="黑体" w:eastAsia="仿宋_GB2312"/>
          <w:sz w:val="30"/>
          <w:szCs w:val="30"/>
        </w:rPr>
      </w:pPr>
      <w:r>
        <w:rPr>
          <w:rFonts w:hint="eastAsia" w:ascii="仿宋_GB2312" w:hAnsi="黑体" w:eastAsia="仿宋_GB2312"/>
          <w:b/>
          <w:bCs/>
          <w:sz w:val="30"/>
          <w:szCs w:val="30"/>
        </w:rPr>
        <w:t xml:space="preserve">第三十四条 </w:t>
      </w:r>
      <w:r>
        <w:rPr>
          <w:rFonts w:hint="eastAsia" w:ascii="仿宋_GB2312" w:hAnsi="黑体" w:eastAsia="仿宋_GB2312"/>
          <w:sz w:val="30"/>
          <w:szCs w:val="30"/>
        </w:rPr>
        <w:t>近期发展重点</w:t>
      </w:r>
    </w:p>
    <w:p>
      <w:pPr>
        <w:spacing w:line="560" w:lineRule="exact"/>
        <w:ind w:firstLine="600" w:firstLineChars="200"/>
        <w:rPr>
          <w:rFonts w:hint="eastAsia" w:ascii="仿宋_GB2312" w:hAnsi="黑体" w:eastAsia="仿宋_GB2312"/>
          <w:sz w:val="30"/>
          <w:szCs w:val="30"/>
        </w:rPr>
      </w:pPr>
      <w:r>
        <w:rPr>
          <w:rFonts w:hint="eastAsia" w:ascii="仿宋_GB2312" w:hAnsi="黑体" w:eastAsia="仿宋_GB2312"/>
          <w:sz w:val="30"/>
          <w:szCs w:val="30"/>
        </w:rPr>
        <w:t>1. 建设完善城市商业中心体系</w:t>
      </w:r>
    </w:p>
    <w:p>
      <w:pPr>
        <w:tabs>
          <w:tab w:val="left" w:pos="2605"/>
        </w:tabs>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以长治建设区域消费中心城市为契机，积极推动城隍庙商圈、新市街商圈、获壁街商圈实施专项改造提升，升级商业品质，优化业态结构，鼓励大型商业设施向主题化购物、餐饮、休闲、娱乐、文化、展示展览等多元化方向发展，打造集品质购物、休闲娱乐、住宿餐饮、商务金融和旅游服务等多功能聚合的综合型商业中心。推动新建培育文体中心商圈、南广场商圈，先期以购物中心/商业街区等综合性网点建设为驱动，以点带面，</w:t>
      </w:r>
      <w:bookmarkStart w:id="28" w:name="_Hlk184046385"/>
      <w:r>
        <w:rPr>
          <w:rFonts w:hint="eastAsia" w:ascii="Times New Roman" w:hAnsi="Times New Roman" w:eastAsia="仿宋_GB2312"/>
          <w:sz w:val="30"/>
          <w:szCs w:val="30"/>
        </w:rPr>
        <w:t>打造融合综合购物、商务服务、文化休闲、居民服务等功能的综合性商圈。</w:t>
      </w:r>
    </w:p>
    <w:bookmarkEnd w:id="28"/>
    <w:p>
      <w:pPr>
        <w:tabs>
          <w:tab w:val="left" w:pos="2605"/>
        </w:tabs>
        <w:spacing w:line="560" w:lineRule="exact"/>
        <w:ind w:firstLine="600" w:firstLineChars="200"/>
        <w:rPr>
          <w:rFonts w:hint="eastAsia" w:ascii="仿宋_GB2312" w:hAnsi="黑体" w:eastAsia="仿宋_GB2312"/>
          <w:sz w:val="30"/>
          <w:szCs w:val="30"/>
        </w:rPr>
      </w:pPr>
      <w:r>
        <w:rPr>
          <w:rFonts w:hint="eastAsia" w:ascii="仿宋_GB2312" w:hAnsi="黑体" w:eastAsia="仿宋_GB2312"/>
          <w:sz w:val="30"/>
          <w:szCs w:val="30"/>
        </w:rPr>
        <w:t>2. 建设完善社区和园区商业</w:t>
      </w:r>
    </w:p>
    <w:p>
      <w:pPr>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结合旧城改造和新社区建设，规划近期完善提升社区商业中心9个、新建2个，近期新建园区商业中心1个，完善乡镇商贸中心3个。盘活老城区社区商业中心内空置商业设施，引导社区和园区商业中心合理布局，构建以综合超市、便利店、标准化菜市场、社区生活服务网点等为载体的便利、安全、完善的居民生活消费服务网络。鼓励新建社区商业中心采用组团式的布局模式，引导商居分离，控制底商式的社区商业发展模式。</w:t>
      </w:r>
    </w:p>
    <w:p>
      <w:pPr>
        <w:spacing w:line="560" w:lineRule="exact"/>
        <w:ind w:firstLine="600" w:firstLineChars="200"/>
        <w:rPr>
          <w:rFonts w:hint="eastAsia" w:ascii="仿宋_GB2312" w:hAnsi="黑体" w:eastAsia="仿宋_GB2312"/>
          <w:sz w:val="30"/>
          <w:szCs w:val="30"/>
        </w:rPr>
      </w:pPr>
      <w:r>
        <w:rPr>
          <w:rFonts w:hint="eastAsia" w:ascii="仿宋_GB2312" w:hAnsi="黑体" w:eastAsia="仿宋_GB2312"/>
          <w:sz w:val="30"/>
          <w:szCs w:val="30"/>
        </w:rPr>
        <w:t>3. 加快培育特色商业街</w:t>
      </w:r>
    </w:p>
    <w:p>
      <w:pPr>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以长治市深厚文化底蕴的传承与发展为主线，突显城市商业特色及城市新兴消费热点，推动特色商业街区和旅游商业设施建设，打造城市商业名片，创新商业发展模式。规划近期重点推动城隍庙广场步行街、甜水巷美食街、银桥步行街等街区改造提升，以及观音堂文化特色商业街的新建。</w:t>
      </w:r>
    </w:p>
    <w:p>
      <w:pPr>
        <w:spacing w:line="560" w:lineRule="exact"/>
        <w:ind w:firstLine="600" w:firstLineChars="200"/>
        <w:rPr>
          <w:rFonts w:hint="eastAsia" w:ascii="仿宋_GB2312" w:hAnsi="黑体" w:eastAsia="仿宋_GB2312"/>
          <w:sz w:val="30"/>
          <w:szCs w:val="30"/>
        </w:rPr>
      </w:pPr>
      <w:r>
        <w:rPr>
          <w:rFonts w:hint="eastAsia" w:ascii="仿宋_GB2312" w:hAnsi="黑体" w:eastAsia="仿宋_GB2312"/>
          <w:sz w:val="30"/>
          <w:szCs w:val="30"/>
        </w:rPr>
        <w:t>4. 统筹引导市场功能集聚</w:t>
      </w:r>
    </w:p>
    <w:p>
      <w:pPr>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近期以3处市场集聚区的培育为抓手，先立后破，引导中心城区商品交易市场外迁，促进生产性商品交易场所集中布局、集聚发展，引导整合城区零散五金机电类商贸流通设施向市场集聚区发展，引导工业消费品市场功能升级，用地腾退，集聚化发展。</w:t>
      </w:r>
    </w:p>
    <w:p>
      <w:pPr>
        <w:spacing w:line="560" w:lineRule="exact"/>
        <w:ind w:firstLine="600" w:firstLineChars="200"/>
        <w:rPr>
          <w:rFonts w:hint="eastAsia" w:ascii="仿宋_GB2312" w:hAnsi="黑体" w:eastAsia="仿宋_GB2312"/>
          <w:sz w:val="30"/>
          <w:szCs w:val="30"/>
        </w:rPr>
      </w:pPr>
      <w:r>
        <w:rPr>
          <w:rFonts w:hint="eastAsia" w:ascii="仿宋_GB2312" w:hAnsi="黑体" w:eastAsia="仿宋_GB2312"/>
          <w:sz w:val="30"/>
          <w:szCs w:val="30"/>
        </w:rPr>
        <w:t>5. 推动商贸物流高效发展</w:t>
      </w:r>
    </w:p>
    <w:p>
      <w:pPr>
        <w:spacing w:line="560" w:lineRule="exact"/>
        <w:ind w:firstLine="600" w:firstLineChars="200"/>
        <w:contextualSpacing/>
        <w:rPr>
          <w:rFonts w:hint="eastAsia" w:ascii="仿宋_GB2312" w:hAnsi="黑体" w:eastAsia="仿宋_GB2312"/>
          <w:sz w:val="30"/>
          <w:szCs w:val="30"/>
        </w:rPr>
      </w:pPr>
      <w:r>
        <w:rPr>
          <w:rFonts w:hint="eastAsia" w:ascii="Times New Roman" w:hAnsi="Times New Roman" w:eastAsia="仿宋_GB2312" w:cs="Arial"/>
          <w:kern w:val="0"/>
          <w:sz w:val="30"/>
          <w:szCs w:val="30"/>
        </w:rPr>
        <w:t>近期重点推动王村机场商贸物流园区、西二环商贸物流园区、上党经开区商贸物流园区建设培育</w:t>
      </w:r>
      <w:r>
        <w:rPr>
          <w:rFonts w:ascii="Times New Roman" w:hAnsi="Times New Roman" w:eastAsia="仿宋_GB2312" w:cs="Arial"/>
          <w:kern w:val="0"/>
          <w:sz w:val="30"/>
          <w:szCs w:val="30"/>
        </w:rPr>
        <w:t>，提升长治中心城区在区域</w:t>
      </w:r>
      <w:r>
        <w:rPr>
          <w:rFonts w:hint="eastAsia" w:ascii="Times New Roman" w:hAnsi="Times New Roman" w:eastAsia="仿宋_GB2312" w:cs="Arial"/>
          <w:kern w:val="0"/>
          <w:sz w:val="30"/>
          <w:szCs w:val="30"/>
        </w:rPr>
        <w:t>商贸</w:t>
      </w:r>
      <w:r>
        <w:rPr>
          <w:rFonts w:ascii="Times New Roman" w:hAnsi="Times New Roman" w:eastAsia="仿宋_GB2312" w:cs="Arial"/>
          <w:kern w:val="0"/>
          <w:sz w:val="30"/>
          <w:szCs w:val="30"/>
        </w:rPr>
        <w:t>物流中的地位和影响力。</w:t>
      </w:r>
      <w:r>
        <w:rPr>
          <w:rFonts w:hint="eastAsia" w:ascii="仿宋_GB2312" w:hAnsi="黑体" w:eastAsia="仿宋_GB2312"/>
          <w:sz w:val="30"/>
          <w:szCs w:val="30"/>
        </w:rPr>
        <w:t>构建中心城区“物流园区+配送中心”城市配送体系，引导农产品批发市场、连锁零售等大型商贸企业建设配送中心，形成二级商贸物流节点。</w:t>
      </w:r>
      <w:r>
        <w:rPr>
          <w:rFonts w:hint="eastAsia" w:ascii="Times New Roman" w:hAnsi="Times New Roman" w:eastAsia="仿宋_GB2312"/>
          <w:sz w:val="30"/>
          <w:szCs w:val="30"/>
        </w:rPr>
        <w:t>积极推动发展冷链物流发展，</w:t>
      </w:r>
      <w:r>
        <w:rPr>
          <w:rFonts w:hint="eastAsia" w:ascii="仿宋_GB2312" w:hAnsi="黑体" w:eastAsia="仿宋_GB2312"/>
          <w:sz w:val="30"/>
          <w:szCs w:val="30"/>
        </w:rPr>
        <w:t>完善集散型冷链物流设施与销地冷链物流设施布局，推进潞卓冷链仓储配送中心等项目建设，打造一批城市冷链物流配送枢纽。</w:t>
      </w:r>
    </w:p>
    <w:p>
      <w:pPr>
        <w:pStyle w:val="55"/>
        <w:widowControl/>
        <w:spacing w:before="312" w:beforeLines="100" w:after="156" w:afterLines="50"/>
        <w:rPr>
          <w:rFonts w:ascii="Times New Roman" w:hAnsi="Times New Roman" w:cs="Times New Roman"/>
          <w:b w:val="0"/>
          <w:kern w:val="0"/>
        </w:rPr>
      </w:pPr>
      <w:bookmarkStart w:id="29" w:name="_Toc183683958"/>
      <w:r>
        <w:rPr>
          <w:rFonts w:hint="eastAsia" w:ascii="Times New Roman" w:hAnsi="Times New Roman" w:cs="Times New Roman"/>
          <w:b w:val="0"/>
          <w:kern w:val="0"/>
        </w:rPr>
        <w:t>第四章 规划实施保障措施</w:t>
      </w:r>
      <w:bookmarkEnd w:id="29"/>
    </w:p>
    <w:p>
      <w:pPr>
        <w:spacing w:line="560" w:lineRule="exact"/>
        <w:ind w:firstLine="602" w:firstLineChars="200"/>
        <w:rPr>
          <w:rFonts w:hint="eastAsia" w:ascii="仿宋_GB2312" w:hAnsi="黑体" w:eastAsia="仿宋_GB2312"/>
          <w:sz w:val="30"/>
          <w:szCs w:val="30"/>
        </w:rPr>
      </w:pPr>
      <w:r>
        <w:rPr>
          <w:rFonts w:hint="eastAsia" w:ascii="仿宋_GB2312" w:hAnsi="黑体" w:eastAsia="仿宋_GB2312"/>
          <w:b/>
          <w:bCs/>
          <w:sz w:val="30"/>
          <w:szCs w:val="30"/>
        </w:rPr>
        <w:t>第三十五条</w:t>
      </w:r>
      <w:r>
        <w:rPr>
          <w:rFonts w:hint="eastAsia" w:ascii="仿宋_GB2312" w:hAnsi="黑体" w:eastAsia="仿宋_GB2312"/>
          <w:sz w:val="30"/>
          <w:szCs w:val="30"/>
        </w:rPr>
        <w:t xml:space="preserve"> 加强规划实施管理，制定实施细则</w:t>
      </w:r>
    </w:p>
    <w:p>
      <w:pPr>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1. 将商业网点布局专项规划与国民经济发展规划和国土空间规划等充分衔接</w:t>
      </w:r>
      <w:r>
        <w:rPr>
          <w:rFonts w:ascii="Times New Roman" w:hAnsi="Times New Roman" w:eastAsia="仿宋_GB2312"/>
          <w:sz w:val="30"/>
          <w:szCs w:val="30"/>
        </w:rPr>
        <w:t>，制定控制性详细规划和修建性详细规划时充分考虑</w:t>
      </w:r>
      <w:r>
        <w:rPr>
          <w:rFonts w:hint="eastAsia" w:ascii="Times New Roman" w:hAnsi="Times New Roman" w:eastAsia="仿宋_GB2312"/>
          <w:sz w:val="30"/>
          <w:szCs w:val="30"/>
        </w:rPr>
        <w:t>商业设施发展</w:t>
      </w:r>
      <w:r>
        <w:rPr>
          <w:rFonts w:ascii="Times New Roman" w:hAnsi="Times New Roman" w:eastAsia="仿宋_GB2312"/>
          <w:sz w:val="30"/>
          <w:szCs w:val="30"/>
        </w:rPr>
        <w:t>需求，强化商务主管部门对地方商务流通业发展的指导作用，做好与商业网点规划的衔接。</w:t>
      </w:r>
    </w:p>
    <w:p>
      <w:pPr>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2. 研究</w:t>
      </w:r>
      <w:r>
        <w:rPr>
          <w:rFonts w:ascii="Times New Roman" w:hAnsi="Times New Roman" w:eastAsia="仿宋_GB2312"/>
          <w:sz w:val="30"/>
          <w:szCs w:val="30"/>
        </w:rPr>
        <w:t>制定城市商业网点建设与管理条例，形成“商业网点管理条例+商业网点规划+商业网点GIS管理系统”的三位一体的管理体系。</w:t>
      </w:r>
    </w:p>
    <w:p>
      <w:pPr>
        <w:spacing w:line="560" w:lineRule="exact"/>
        <w:ind w:firstLine="600" w:firstLineChars="200"/>
        <w:rPr>
          <w:rFonts w:hint="eastAsia" w:ascii="仿宋_GB2312" w:hAnsi="黑体" w:eastAsia="仿宋_GB2312"/>
          <w:sz w:val="30"/>
          <w:szCs w:val="30"/>
        </w:rPr>
      </w:pPr>
      <w:r>
        <w:rPr>
          <w:rFonts w:hint="eastAsia" w:ascii="Times New Roman" w:hAnsi="Times New Roman" w:eastAsia="仿宋_GB2312"/>
          <w:sz w:val="30"/>
          <w:szCs w:val="30"/>
        </w:rPr>
        <w:t xml:space="preserve">3. </w:t>
      </w:r>
      <w:r>
        <w:rPr>
          <w:rFonts w:ascii="Times New Roman" w:hAnsi="Times New Roman" w:eastAsia="仿宋_GB2312"/>
          <w:sz w:val="30"/>
          <w:szCs w:val="30"/>
        </w:rPr>
        <w:t>制定规划实施细则，分年度提出发展目标、指标、项目、措施等，确保</w:t>
      </w:r>
      <w:r>
        <w:rPr>
          <w:rFonts w:hint="eastAsia" w:ascii="Times New Roman" w:hAnsi="Times New Roman" w:eastAsia="仿宋_GB2312"/>
          <w:sz w:val="30"/>
          <w:szCs w:val="30"/>
        </w:rPr>
        <w:t>商贸流通设施</w:t>
      </w:r>
      <w:r>
        <w:rPr>
          <w:rFonts w:ascii="Times New Roman" w:hAnsi="Times New Roman" w:eastAsia="仿宋_GB2312"/>
          <w:sz w:val="30"/>
          <w:szCs w:val="30"/>
        </w:rPr>
        <w:t>建设有序推进。制定商业发展投资引导目录，明确规划引导的具体行业、业态、空间布局等。建立商业网点重点项目库。</w:t>
      </w:r>
    </w:p>
    <w:p>
      <w:pPr>
        <w:spacing w:line="560" w:lineRule="exact"/>
        <w:ind w:firstLine="602" w:firstLineChars="200"/>
        <w:rPr>
          <w:rFonts w:hint="eastAsia" w:ascii="仿宋_GB2312" w:hAnsi="黑体" w:eastAsia="仿宋_GB2312"/>
          <w:sz w:val="30"/>
          <w:szCs w:val="30"/>
        </w:rPr>
      </w:pPr>
      <w:r>
        <w:rPr>
          <w:rFonts w:hint="eastAsia" w:ascii="仿宋_GB2312" w:hAnsi="黑体" w:eastAsia="仿宋_GB2312"/>
          <w:b/>
          <w:bCs/>
          <w:sz w:val="30"/>
          <w:szCs w:val="30"/>
        </w:rPr>
        <w:t>第三十六条</w:t>
      </w:r>
      <w:r>
        <w:rPr>
          <w:rFonts w:hint="eastAsia" w:ascii="仿宋_GB2312" w:hAnsi="黑体" w:eastAsia="仿宋_GB2312"/>
          <w:sz w:val="30"/>
          <w:szCs w:val="30"/>
        </w:rPr>
        <w:t xml:space="preserve"> 构建多元可持续的商贸项目投融资体系</w:t>
      </w:r>
    </w:p>
    <w:p>
      <w:pPr>
        <w:spacing w:line="560" w:lineRule="exact"/>
        <w:ind w:firstLine="600" w:firstLineChars="200"/>
        <w:rPr>
          <w:rFonts w:hint="eastAsia" w:ascii="仿宋_GB2312" w:hAnsi="黑体" w:eastAsia="仿宋_GB2312"/>
          <w:sz w:val="30"/>
          <w:szCs w:val="30"/>
        </w:rPr>
      </w:pPr>
      <w:r>
        <w:rPr>
          <w:rFonts w:hint="eastAsia" w:ascii="Times New Roman" w:hAnsi="Times New Roman" w:eastAsia="仿宋_GB2312"/>
          <w:sz w:val="30"/>
          <w:szCs w:val="30"/>
        </w:rPr>
        <w:t>1.</w:t>
      </w:r>
      <w:r>
        <w:rPr>
          <w:rFonts w:hint="eastAsia" w:ascii="仿宋_GB2312" w:hAnsi="黑体" w:eastAsia="仿宋_GB2312"/>
          <w:sz w:val="30"/>
          <w:szCs w:val="30"/>
        </w:rPr>
        <w:t xml:space="preserve"> 充分利用国家及各级政府在促进投资方面的优惠政策，积极争取国家及各级地方政府在公益性流通设施、农产品和农村流通体系、流通信息化建设、家政和餐饮等生活服务业以及创新型商业、电子商务发展等方面的资金、政策扶持。</w:t>
      </w:r>
    </w:p>
    <w:p>
      <w:pPr>
        <w:spacing w:line="560" w:lineRule="exact"/>
        <w:ind w:firstLine="600" w:firstLineChars="200"/>
        <w:rPr>
          <w:rFonts w:hint="eastAsia" w:ascii="仿宋_GB2312" w:hAnsi="黑体" w:eastAsia="仿宋_GB2312"/>
          <w:sz w:val="30"/>
          <w:szCs w:val="30"/>
        </w:rPr>
      </w:pPr>
      <w:r>
        <w:rPr>
          <w:rFonts w:hint="eastAsia" w:ascii="Times New Roman" w:hAnsi="Times New Roman" w:eastAsia="仿宋_GB2312"/>
          <w:sz w:val="30"/>
          <w:szCs w:val="30"/>
        </w:rPr>
        <w:t>2.</w:t>
      </w:r>
      <w:r>
        <w:rPr>
          <w:rFonts w:hint="eastAsia" w:ascii="仿宋_GB2312" w:hAnsi="黑体" w:eastAsia="仿宋_GB2312"/>
          <w:sz w:val="30"/>
          <w:szCs w:val="30"/>
        </w:rPr>
        <w:t xml:space="preserve"> 对符合城市商业发展方向、体现现代商业发展趋势的商业项目给予资金、税收、土地等方面的扶持，针对城市流通基础设施项目建设积极发行专项债。</w:t>
      </w:r>
    </w:p>
    <w:p>
      <w:pPr>
        <w:spacing w:line="560" w:lineRule="exact"/>
        <w:ind w:firstLine="602" w:firstLineChars="200"/>
        <w:rPr>
          <w:rFonts w:hint="eastAsia" w:ascii="仿宋_GB2312" w:hAnsi="黑体" w:eastAsia="仿宋_GB2312"/>
          <w:sz w:val="30"/>
          <w:szCs w:val="30"/>
        </w:rPr>
      </w:pPr>
      <w:r>
        <w:rPr>
          <w:rFonts w:hint="eastAsia" w:ascii="仿宋_GB2312" w:hAnsi="黑体" w:eastAsia="仿宋_GB2312"/>
          <w:b/>
          <w:bCs/>
          <w:sz w:val="30"/>
          <w:szCs w:val="30"/>
        </w:rPr>
        <w:t>第三十七条</w:t>
      </w:r>
      <w:r>
        <w:rPr>
          <w:rFonts w:hint="eastAsia" w:ascii="仿宋_GB2312" w:hAnsi="黑体" w:eastAsia="仿宋_GB2312"/>
          <w:sz w:val="30"/>
          <w:szCs w:val="30"/>
        </w:rPr>
        <w:t xml:space="preserve"> 强化行业协会管理</w:t>
      </w:r>
    </w:p>
    <w:p>
      <w:pPr>
        <w:spacing w:line="560" w:lineRule="exact"/>
        <w:ind w:firstLine="600" w:firstLineChars="200"/>
        <w:rPr>
          <w:rFonts w:hint="eastAsia" w:ascii="仿宋_GB2312" w:hAnsi="黑体" w:eastAsia="仿宋_GB2312"/>
          <w:sz w:val="30"/>
          <w:szCs w:val="30"/>
        </w:rPr>
      </w:pPr>
      <w:r>
        <w:rPr>
          <w:rFonts w:hint="eastAsia" w:ascii="仿宋_GB2312" w:hAnsi="黑体" w:eastAsia="仿宋_GB2312"/>
          <w:sz w:val="30"/>
          <w:szCs w:val="30"/>
        </w:rPr>
        <w:t>在商业发展中，行业协会的作用不可忽视。为了确保规划有效实施和行业健康发展，应充分发挥行业协会的专业优势。通过引导和支持制定行业标准和技术规范，加强行业自律，提升行业规范化水平。行业协会熟悉行业情况，能为规划提供宝贵意见，使其更贴近实际需求。鼓励协会开展调查研究，为政府决策提供第一手资料，支持科学决策。同时，根据国家法律法规制定具体标准，规范会员行为，作为政府监管依据，并定期修订完善标准，保持与时俱进。加强自律机制建设，倡导诚信经营，督促遵守法规和道德准则，加大违规查处力度，开展培训教育，提高从业人员素质，营造良好环境，为规划成功实施提供保障。</w:t>
      </w:r>
    </w:p>
    <w:p>
      <w:pPr>
        <w:spacing w:line="560" w:lineRule="exact"/>
        <w:ind w:firstLine="602" w:firstLineChars="200"/>
        <w:rPr>
          <w:rFonts w:hint="eastAsia" w:ascii="仿宋_GB2312" w:hAnsi="黑体" w:eastAsia="仿宋_GB2312"/>
          <w:sz w:val="30"/>
          <w:szCs w:val="30"/>
        </w:rPr>
      </w:pPr>
      <w:r>
        <w:rPr>
          <w:rFonts w:hint="eastAsia" w:ascii="仿宋_GB2312" w:hAnsi="黑体" w:eastAsia="仿宋_GB2312"/>
          <w:b/>
          <w:bCs/>
          <w:sz w:val="30"/>
          <w:szCs w:val="30"/>
        </w:rPr>
        <w:t>第三十八条</w:t>
      </w:r>
      <w:r>
        <w:rPr>
          <w:rFonts w:hint="eastAsia" w:ascii="仿宋_GB2312" w:hAnsi="黑体" w:eastAsia="仿宋_GB2312"/>
          <w:sz w:val="30"/>
          <w:szCs w:val="30"/>
        </w:rPr>
        <w:t xml:space="preserve"> 优化营商环境</w:t>
      </w:r>
    </w:p>
    <w:p>
      <w:pPr>
        <w:spacing w:line="560" w:lineRule="exact"/>
        <w:ind w:firstLine="600" w:firstLineChars="200"/>
        <w:rPr>
          <w:rFonts w:hint="eastAsia" w:ascii="仿宋_GB2312" w:hAnsi="黑体" w:eastAsia="仿宋_GB2312"/>
          <w:sz w:val="30"/>
          <w:szCs w:val="30"/>
        </w:rPr>
      </w:pPr>
      <w:r>
        <w:rPr>
          <w:rFonts w:hint="eastAsia" w:ascii="仿宋_GB2312" w:hAnsi="黑体" w:eastAsia="仿宋_GB2312"/>
          <w:sz w:val="30"/>
          <w:szCs w:val="30"/>
        </w:rPr>
        <w:t>为了优化营商环境，长治市深化“放管服”改革，简化商业网点建设的审批流程和手续，提高政务服务效率和质量。通过建立统一的政务服务平台，实现政务信息集中管理和共享，提供一站式服务。同时，加大对符合条件的商业网点的政策扶持力度，包括税收优惠、资金补贴等。此外，加强市场监管，维护公平竞争环境，严厉打击价格欺诈、虚假宣传等违法行为，并建立健全投诉举报机制，确保消费者权益得到保障。这些措施共同为商业网点的发展提供了良好的外部环境。</w:t>
      </w:r>
    </w:p>
    <w:p>
      <w:pPr>
        <w:spacing w:line="560" w:lineRule="exact"/>
        <w:ind w:firstLine="602" w:firstLineChars="200"/>
        <w:rPr>
          <w:rFonts w:hint="eastAsia" w:ascii="仿宋_GB2312" w:hAnsi="黑体" w:eastAsia="仿宋_GB2312"/>
          <w:sz w:val="30"/>
          <w:szCs w:val="30"/>
        </w:rPr>
      </w:pPr>
      <w:r>
        <w:rPr>
          <w:rFonts w:hint="eastAsia" w:ascii="仿宋_GB2312" w:hAnsi="黑体" w:eastAsia="仿宋_GB2312"/>
          <w:b/>
          <w:bCs/>
          <w:sz w:val="30"/>
          <w:szCs w:val="30"/>
        </w:rPr>
        <w:t>第三十九条</w:t>
      </w:r>
      <w:r>
        <w:rPr>
          <w:rFonts w:hint="eastAsia" w:ascii="仿宋_GB2312" w:hAnsi="黑体" w:eastAsia="仿宋_GB2312"/>
          <w:sz w:val="30"/>
          <w:szCs w:val="30"/>
        </w:rPr>
        <w:t xml:space="preserve"> 定期评估规划实施效果</w:t>
      </w:r>
    </w:p>
    <w:p>
      <w:pPr>
        <w:spacing w:line="560" w:lineRule="exact"/>
        <w:ind w:firstLine="600" w:firstLineChars="200"/>
        <w:rPr>
          <w:rFonts w:hint="eastAsia" w:ascii="仿宋_GB2312" w:hAnsi="黑体" w:eastAsia="仿宋_GB2312"/>
          <w:sz w:val="30"/>
          <w:szCs w:val="30"/>
        </w:rPr>
        <w:sectPr>
          <w:headerReference r:id="rId5" w:type="default"/>
          <w:footerReference r:id="rId6" w:type="default"/>
          <w:pgSz w:w="11906" w:h="16838"/>
          <w:pgMar w:top="1440" w:right="1800" w:bottom="1440" w:left="1800" w:header="851" w:footer="992" w:gutter="0"/>
          <w:pgNumType w:start="1"/>
          <w:cols w:space="425" w:num="1"/>
          <w:docGrid w:type="lines" w:linePitch="312" w:charSpace="0"/>
        </w:sectPr>
      </w:pPr>
      <w:r>
        <w:rPr>
          <w:rFonts w:hint="eastAsia" w:ascii="仿宋_GB2312" w:hAnsi="黑体" w:eastAsia="仿宋_GB2312"/>
          <w:sz w:val="30"/>
          <w:szCs w:val="30"/>
        </w:rPr>
        <w:t>为确保长治商业网点规划得以精准落地并实现高效推进，需要定期对整个商业网点规划进行全面评估。这包括商业发展目标实现程度、经济效益指标、商业网点分布均衡性、建设规范执行情况、政策支持与引导效果、可持续发展能力等方面进行全面评估。通过建立科学的评估体系和方法，收集相关数据和信息，对规划实施过程中的问题和成效进行分析和总结。同时，根据评估结果及时调整和完善政策措施，确保规划目标的实现。此外，还应加强与相关部门和机构的沟通协调，形成合力推动规划实施的良好局面。</w:t>
      </w:r>
    </w:p>
    <w:p>
      <w:pPr>
        <w:spacing w:line="520" w:lineRule="exact"/>
        <w:rPr>
          <w:rFonts w:hint="eastAsia" w:ascii="仿宋_GB2312" w:hAnsi="黑体" w:eastAsia="仿宋_GB2312"/>
          <w:sz w:val="28"/>
          <w:szCs w:val="28"/>
        </w:rPr>
      </w:pPr>
      <w:r>
        <w:rPr>
          <w:rFonts w:hint="eastAsia" w:ascii="仿宋_GB2312" w:hAnsi="黑体" w:eastAsia="仿宋_GB2312"/>
          <w:sz w:val="28"/>
          <w:szCs w:val="28"/>
        </w:rPr>
        <w:t>附图一：商圈体系规划图</w:t>
      </w:r>
    </w:p>
    <w:p>
      <w:pPr>
        <w:jc w:val="center"/>
        <w:rPr>
          <w:rFonts w:hint="eastAsia" w:ascii="仿宋_GB2312" w:hAnsi="黑体" w:eastAsia="仿宋_GB2312"/>
          <w:sz w:val="28"/>
          <w:szCs w:val="28"/>
        </w:rPr>
      </w:pPr>
      <w:r>
        <w:rPr>
          <w:rFonts w:ascii="仿宋_GB2312" w:hAnsi="黑体" w:eastAsia="仿宋_GB2312"/>
          <w:sz w:val="28"/>
          <w:szCs w:val="28"/>
        </w:rPr>
        <w:drawing>
          <wp:inline distT="0" distB="0" distL="0" distR="0">
            <wp:extent cx="7551420" cy="5342890"/>
            <wp:effectExtent l="0" t="0" r="0" b="0"/>
            <wp:docPr id="19435438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4354382" name="图片 2"/>
                    <pic:cNvPicPr>
                      <a:picLocks noChangeAspect="true" noChangeArrowheads="true"/>
                    </pic:cNvPicPr>
                  </pic:nvPicPr>
                  <pic:blipFill>
                    <a:blip r:embed="rId8" cstate="print">
                      <a:extLst>
                        <a:ext uri="{28A0092B-C50C-407E-A947-70E740481C1C}">
                          <a14:useLocalDpi xmlns:a14="http://schemas.microsoft.com/office/drawing/2010/main" val="false"/>
                        </a:ext>
                      </a:extLst>
                    </a:blip>
                    <a:srcRect/>
                    <a:stretch>
                      <a:fillRect/>
                    </a:stretch>
                  </pic:blipFill>
                  <pic:spPr>
                    <a:xfrm>
                      <a:off x="0" y="0"/>
                      <a:ext cx="7586563" cy="5367760"/>
                    </a:xfrm>
                    <a:prstGeom prst="rect">
                      <a:avLst/>
                    </a:prstGeom>
                    <a:noFill/>
                    <a:ln>
                      <a:noFill/>
                    </a:ln>
                  </pic:spPr>
                </pic:pic>
              </a:graphicData>
            </a:graphic>
          </wp:inline>
        </w:drawing>
      </w:r>
    </w:p>
    <w:p>
      <w:pPr>
        <w:spacing w:line="520" w:lineRule="exact"/>
        <w:rPr>
          <w:rFonts w:hint="eastAsia" w:ascii="仿宋_GB2312" w:hAnsi="黑体" w:eastAsia="仿宋_GB2312"/>
          <w:sz w:val="28"/>
          <w:szCs w:val="28"/>
        </w:rPr>
      </w:pPr>
      <w:r>
        <w:rPr>
          <w:rFonts w:hint="eastAsia" w:ascii="仿宋_GB2312" w:hAnsi="黑体" w:eastAsia="仿宋_GB2312"/>
          <w:sz w:val="28"/>
          <w:szCs w:val="28"/>
        </w:rPr>
        <w:t>附图二：社区及园区商业中心规划图</w:t>
      </w:r>
    </w:p>
    <w:p>
      <w:pPr>
        <w:jc w:val="center"/>
        <w:rPr>
          <w:rFonts w:hint="eastAsia" w:ascii="仿宋_GB2312" w:hAnsi="黑体" w:eastAsia="仿宋_GB2312"/>
          <w:sz w:val="28"/>
          <w:szCs w:val="28"/>
        </w:rPr>
      </w:pPr>
      <w:r>
        <w:rPr>
          <w:rFonts w:hint="eastAsia" w:ascii="仿宋_GB2312" w:hAnsi="黑体" w:eastAsia="仿宋_GB2312"/>
          <w:sz w:val="28"/>
          <w:szCs w:val="28"/>
        </w:rPr>
        <w:drawing>
          <wp:inline distT="0" distB="0" distL="0" distR="0">
            <wp:extent cx="7451725" cy="5270500"/>
            <wp:effectExtent l="0" t="0" r="0" b="6350"/>
            <wp:docPr id="1625169784"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25169784" name="图片 3"/>
                    <pic:cNvPicPr>
                      <a:picLocks noChangeAspect="true" noChangeArrowheads="true"/>
                    </pic:cNvPicPr>
                  </pic:nvPicPr>
                  <pic:blipFill>
                    <a:blip r:embed="rId9" cstate="print">
                      <a:extLst>
                        <a:ext uri="{28A0092B-C50C-407E-A947-70E740481C1C}">
                          <a14:useLocalDpi xmlns:a14="http://schemas.microsoft.com/office/drawing/2010/main" val="false"/>
                        </a:ext>
                      </a:extLst>
                    </a:blip>
                    <a:stretch>
                      <a:fillRect/>
                    </a:stretch>
                  </pic:blipFill>
                  <pic:spPr>
                    <a:xfrm>
                      <a:off x="0" y="0"/>
                      <a:ext cx="7451986" cy="5270697"/>
                    </a:xfrm>
                    <a:prstGeom prst="rect">
                      <a:avLst/>
                    </a:prstGeom>
                    <a:noFill/>
                    <a:ln>
                      <a:noFill/>
                    </a:ln>
                  </pic:spPr>
                </pic:pic>
              </a:graphicData>
            </a:graphic>
          </wp:inline>
        </w:drawing>
      </w:r>
    </w:p>
    <w:p>
      <w:pPr>
        <w:spacing w:line="520" w:lineRule="exact"/>
        <w:rPr>
          <w:rFonts w:hint="eastAsia" w:ascii="仿宋_GB2312" w:hAnsi="黑体" w:eastAsia="仿宋_GB2312"/>
          <w:sz w:val="28"/>
          <w:szCs w:val="28"/>
        </w:rPr>
      </w:pPr>
      <w:r>
        <w:rPr>
          <w:rFonts w:hint="eastAsia" w:ascii="仿宋_GB2312" w:hAnsi="黑体" w:eastAsia="仿宋_GB2312"/>
          <w:sz w:val="28"/>
          <w:szCs w:val="28"/>
        </w:rPr>
        <w:t>附图三：商业街规划图</w:t>
      </w:r>
    </w:p>
    <w:p>
      <w:pPr>
        <w:jc w:val="center"/>
        <w:rPr>
          <w:rFonts w:hint="eastAsia" w:ascii="仿宋_GB2312" w:hAnsi="黑体" w:eastAsia="仿宋_GB2312"/>
          <w:sz w:val="28"/>
          <w:szCs w:val="28"/>
        </w:rPr>
      </w:pPr>
      <w:r>
        <w:rPr>
          <w:rFonts w:hint="eastAsia" w:ascii="仿宋_GB2312" w:hAnsi="黑体" w:eastAsia="仿宋_GB2312"/>
          <w:sz w:val="28"/>
          <w:szCs w:val="28"/>
        </w:rPr>
        <w:drawing>
          <wp:inline distT="0" distB="0" distL="0" distR="0">
            <wp:extent cx="7458710" cy="5274310"/>
            <wp:effectExtent l="0" t="0" r="8890" b="2540"/>
            <wp:docPr id="130658268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06582684" name="图片 4"/>
                    <pic:cNvPicPr>
                      <a:picLocks noChangeAspect="true" noChangeArrowheads="true"/>
                    </pic:cNvPicPr>
                  </pic:nvPicPr>
                  <pic:blipFill>
                    <a:blip r:embed="rId10" cstate="print">
                      <a:extLst>
                        <a:ext uri="{28A0092B-C50C-407E-A947-70E740481C1C}">
                          <a14:useLocalDpi xmlns:a14="http://schemas.microsoft.com/office/drawing/2010/main" val="false"/>
                        </a:ext>
                      </a:extLst>
                    </a:blip>
                    <a:srcRect/>
                    <a:stretch>
                      <a:fillRect/>
                    </a:stretch>
                  </pic:blipFill>
                  <pic:spPr>
                    <a:xfrm>
                      <a:off x="0" y="0"/>
                      <a:ext cx="7481421" cy="5290576"/>
                    </a:xfrm>
                    <a:prstGeom prst="rect">
                      <a:avLst/>
                    </a:prstGeom>
                    <a:noFill/>
                    <a:ln>
                      <a:noFill/>
                    </a:ln>
                  </pic:spPr>
                </pic:pic>
              </a:graphicData>
            </a:graphic>
          </wp:inline>
        </w:drawing>
      </w:r>
    </w:p>
    <w:p>
      <w:pPr>
        <w:spacing w:line="520" w:lineRule="exact"/>
        <w:rPr>
          <w:rFonts w:hint="eastAsia" w:ascii="仿宋_GB2312" w:hAnsi="黑体" w:eastAsia="仿宋_GB2312"/>
          <w:sz w:val="28"/>
          <w:szCs w:val="28"/>
        </w:rPr>
      </w:pPr>
      <w:r>
        <w:rPr>
          <w:rFonts w:hint="eastAsia" w:ascii="仿宋_GB2312" w:hAnsi="黑体" w:eastAsia="仿宋_GB2312"/>
          <w:sz w:val="28"/>
          <w:szCs w:val="28"/>
        </w:rPr>
        <w:t>附图四：商贸物流规划图</w:t>
      </w:r>
    </w:p>
    <w:p>
      <w:pPr>
        <w:jc w:val="center"/>
        <w:rPr>
          <w:rFonts w:hint="eastAsia" w:ascii="仿宋_GB2312" w:hAnsi="黑体" w:eastAsia="仿宋_GB2312"/>
          <w:sz w:val="28"/>
          <w:szCs w:val="28"/>
        </w:rPr>
      </w:pPr>
      <w:r>
        <w:rPr>
          <w:rFonts w:hint="eastAsia" w:ascii="仿宋_GB2312" w:hAnsi="黑体" w:eastAsia="仿宋_GB2312"/>
          <w:sz w:val="28"/>
          <w:szCs w:val="28"/>
        </w:rPr>
        <w:drawing>
          <wp:inline distT="0" distB="0" distL="0" distR="0">
            <wp:extent cx="7497445" cy="5301615"/>
            <wp:effectExtent l="0" t="0" r="8255" b="0"/>
            <wp:docPr id="1390095684"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90095684" name="图片 5"/>
                    <pic:cNvPicPr>
                      <a:picLocks noChangeAspect="true" noChangeArrowheads="true"/>
                    </pic:cNvPicPr>
                  </pic:nvPicPr>
                  <pic:blipFill>
                    <a:blip r:embed="rId11" cstate="print">
                      <a:extLst>
                        <a:ext uri="{28A0092B-C50C-407E-A947-70E740481C1C}">
                          <a14:useLocalDpi xmlns:a14="http://schemas.microsoft.com/office/drawing/2010/main" val="false"/>
                        </a:ext>
                      </a:extLst>
                    </a:blip>
                    <a:srcRect/>
                    <a:stretch>
                      <a:fillRect/>
                    </a:stretch>
                  </pic:blipFill>
                  <pic:spPr>
                    <a:xfrm>
                      <a:off x="0" y="0"/>
                      <a:ext cx="7503360" cy="5306091"/>
                    </a:xfrm>
                    <a:prstGeom prst="rect">
                      <a:avLst/>
                    </a:prstGeom>
                    <a:noFill/>
                    <a:ln>
                      <a:noFill/>
                    </a:ln>
                  </pic:spPr>
                </pic:pic>
              </a:graphicData>
            </a:graphic>
          </wp:inline>
        </w:drawing>
      </w:r>
    </w:p>
    <w:sectPr>
      <w:pgSz w:w="16838" w:h="11906" w:orient="landscape"/>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华文仿宋"/>
    <w:panose1 w:val="02010600030101010101"/>
    <w:charset w:val="86"/>
    <w:family w:val="auto"/>
    <w:pitch w:val="default"/>
    <w:sig w:usb0="00000000" w:usb1="00000000" w:usb2="00000016" w:usb3="00000000" w:csb0="0004000F" w:csb1="00000000"/>
  </w:font>
  <w:font w:name="等线">
    <w:altName w:val="华文仿宋"/>
    <w:panose1 w:val="00000000000000000000"/>
    <w:charset w:val="86"/>
    <w:family w:val="auto"/>
    <w:pitch w:val="default"/>
    <w:sig w:usb0="00000000" w:usb1="00000000" w:usb2="00000000" w:usb3="00000000" w:csb0="00000000" w:csb1="00000000"/>
  </w:font>
  <w:font w:name="等线">
    <w:altName w:val="URW Bookman"/>
    <w:panose1 w:val="00000000000000000000"/>
    <w:charset w:val="00"/>
    <w:family w:val="auto"/>
    <w:pitch w:val="default"/>
    <w:sig w:usb0="00000000" w:usb1="00000000" w:usb2="00000000" w:usb3="00000000" w:csb0="00000000" w:csb1="00000000"/>
  </w:font>
  <w:font w:name="等线 Light">
    <w:altName w:val="华文仿宋"/>
    <w:panose1 w:val="02010600030101010101"/>
    <w:charset w:val="86"/>
    <w:family w:val="auto"/>
    <w:pitch w:val="default"/>
    <w:sig w:usb0="00000000" w:usb1="00000000" w:usb2="00000016" w:usb3="00000000" w:csb0="0004000F" w:csb1="00000000"/>
  </w:font>
  <w:font w:name="微软雅黑">
    <w:altName w:val="方正黑体_GBK"/>
    <w:panose1 w:val="020B0503020204020204"/>
    <w:charset w:val="86"/>
    <w:family w:val="swiss"/>
    <w:pitch w:val="default"/>
    <w:sig w:usb0="00000000" w:usb1="00000000" w:usb2="00000016" w:usb3="00000000" w:csb0="0004001F" w:csb1="00000000"/>
  </w:font>
  <w:font w:name="Cambria">
    <w:altName w:val="FreeSerif"/>
    <w:panose1 w:val="02040503050406030204"/>
    <w:charset w:val="00"/>
    <w:family w:val="roman"/>
    <w:pitch w:val="default"/>
    <w:sig w:usb0="00000000" w:usb1="00000000" w:usb2="02000000" w:usb3="00000000" w:csb0="0000019F" w:csb1="00000000"/>
  </w:font>
  <w:font w:name="仿宋_GB2312">
    <w:altName w:val="方正仿宋_GBK"/>
    <w:panose1 w:val="02010609030101010101"/>
    <w:charset w:val="86"/>
    <w:family w:val="modern"/>
    <w:pitch w:val="default"/>
    <w:sig w:usb0="00000000" w:usb1="00000000" w:usb2="00000010" w:usb3="00000000" w:csb0="00040000" w:csb1="00000000"/>
  </w:font>
  <w:font w:name="Segoe UI Symbol">
    <w:altName w:val="Noto Sans"/>
    <w:panose1 w:val="020B0502040204020203"/>
    <w:charset w:val="00"/>
    <w:family w:val="swiss"/>
    <w:pitch w:val="default"/>
    <w:sig w:usb0="00000000" w:usb1="00000000" w:usb2="00040000" w:usb3="00000000" w:csb0="00000001" w:csb1="00000000"/>
  </w:font>
  <w:font w:name="楷体">
    <w:altName w:val="方正楷体_GBK"/>
    <w:panose1 w:val="02010609060101010101"/>
    <w:charset w:val="86"/>
    <w:family w:val="modern"/>
    <w:pitch w:val="default"/>
    <w:sig w:usb0="00000000" w:usb1="00000000" w:usb2="00000016" w:usb3="00000000" w:csb0="00040001" w:csb1="00000000"/>
  </w:font>
  <w:font w:name="楷体_GB2312">
    <w:altName w:val="方正楷体_GBK"/>
    <w:panose1 w:val="00000000000000000000"/>
    <w:charset w:val="86"/>
    <w:family w:val="modern"/>
    <w:pitch w:val="default"/>
    <w:sig w:usb0="00000000" w:usb1="00000000" w:usb2="00000010" w:usb3="00000000" w:csb0="00040000" w:csb1="00000000"/>
  </w:font>
  <w:font w:name="Arial">
    <w:altName w:val="DejaVu Sans"/>
    <w:panose1 w:val="020B0604020202020204"/>
    <w:charset w:val="00"/>
    <w:family w:val="swiss"/>
    <w:pitch w:val="default"/>
    <w:sig w:usb0="00000000" w:usb1="00000000" w:usb2="00000009" w:usb3="00000000" w:csb0="000001FF" w:csb1="00000000"/>
  </w:font>
  <w:font w:name="方正黑体_GBK">
    <w:panose1 w:val="02000000000000000000"/>
    <w:charset w:val="86"/>
    <w:family w:val="auto"/>
    <w:pitch w:val="default"/>
    <w:sig w:usb0="00000001" w:usb1="08000000" w:usb2="00000000" w:usb3="00000000" w:csb0="00040000" w:csb1="00000000"/>
  </w:font>
  <w:font w:name="URW Bookman">
    <w:panose1 w:val="00000400000000000000"/>
    <w:charset w:val="00"/>
    <w:family w:val="auto"/>
    <w:pitch w:val="default"/>
    <w:sig w:usb0="00000287" w:usb1="00000800" w:usb2="00000000" w:usb3="00000000" w:csb0="600000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Liberation Serif">
    <w:panose1 w:val="02020603050405020304"/>
    <w:charset w:val="00"/>
    <w:family w:val="auto"/>
    <w:pitch w:val="default"/>
    <w:sig w:usb0="A00002AF" w:usb1="500078FB" w:usb2="00000000" w:usb3="00000000" w:csb0="6000009F" w:csb1="DFD70000"/>
  </w:font>
  <w:font w:name="方正仿宋_GBK">
    <w:panose1 w:val="02000000000000000000"/>
    <w:charset w:val="86"/>
    <w:family w:val="auto"/>
    <w:pitch w:val="default"/>
    <w:sig w:usb0="00000001" w:usb1="08000000" w:usb2="00000000" w:usb3="00000000" w:csb0="00040000" w:csb1="00000000"/>
  </w:font>
  <w:font w:name="等线 Light">
    <w:altName w:val="URW Bookman"/>
    <w:panose1 w:val="00000000000000000000"/>
    <w:charset w:val="00"/>
    <w:family w:val="auto"/>
    <w:pitch w:val="default"/>
    <w:sig w:usb0="00000000" w:usb1="00000000" w:usb2="00000000" w:usb3="00000000" w:csb0="00000000" w:csb1="00000000"/>
  </w:font>
  <w:font w:name="Noto Sans">
    <w:panose1 w:val="020B0502040504020204"/>
    <w:charset w:val="00"/>
    <w:family w:val="auto"/>
    <w:pitch w:val="default"/>
    <w:sig w:usb0="E00002FF" w:usb1="4000201F" w:usb2="08000029" w:usb3="00100000" w:csb0="0000019F" w:csb1="00000000"/>
  </w:font>
  <w:font w:name="方正宋体S-超大字符集">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92636069"/>
      <w:docPartObj>
        <w:docPartGallery w:val="autotext"/>
      </w:docPartObj>
    </w:sdtPr>
    <w:sdtContent>
      <w:p>
        <w:pPr>
          <w:pStyle w:val="12"/>
          <w:jc w:val="center"/>
        </w:pPr>
        <w:r>
          <w:fldChar w:fldCharType="begin"/>
        </w:r>
        <w:r>
          <w:instrText xml:space="preserve">PAGE   \* MERGEFORMAT</w:instrText>
        </w:r>
        <w:r>
          <w:fldChar w:fldCharType="separate"/>
        </w:r>
        <w:r>
          <w:rPr>
            <w:lang w:val="zh-CN"/>
          </w:rPr>
          <w:t>2</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bookmarkStart w:id="30" w:name="_Hlk183683876"/>
    <w:r>
      <w:rPr>
        <w:rFonts w:hint="eastAsia"/>
      </w:rPr>
      <w:t>《长治市商业网点布局专项规划（2021-2035年）》</w:t>
    </w:r>
  </w:p>
  <w:bookmarkEnd w:id="30"/>
  <w:p>
    <w:pPr>
      <w:pStyle w:val="1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rPr>
      <w:t>《长治市商业网点布局专项规划（2021-2035年）》</w: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greatwall">
    <w15:presenceInfo w15:providerId="None" w15:userId="greatwa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trackRevisions w:val="true"/>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MxMzFiZjM3MTU5YTE5Mjc4ZjcwMmZjYWU3MGYwNzkifQ=="/>
  </w:docVars>
  <w:rsids>
    <w:rsidRoot w:val="00B750AE"/>
    <w:rsid w:val="00003FA4"/>
    <w:rsid w:val="000077B3"/>
    <w:rsid w:val="000175D2"/>
    <w:rsid w:val="0002427F"/>
    <w:rsid w:val="00056A2D"/>
    <w:rsid w:val="000659B6"/>
    <w:rsid w:val="000710C0"/>
    <w:rsid w:val="00076C1A"/>
    <w:rsid w:val="00084C39"/>
    <w:rsid w:val="000C7578"/>
    <w:rsid w:val="000D5974"/>
    <w:rsid w:val="000D7091"/>
    <w:rsid w:val="000D7E13"/>
    <w:rsid w:val="000F5D38"/>
    <w:rsid w:val="000F738C"/>
    <w:rsid w:val="00102051"/>
    <w:rsid w:val="001027F5"/>
    <w:rsid w:val="00134394"/>
    <w:rsid w:val="001357F0"/>
    <w:rsid w:val="001415DC"/>
    <w:rsid w:val="00144CB6"/>
    <w:rsid w:val="00161707"/>
    <w:rsid w:val="00161ECD"/>
    <w:rsid w:val="00162150"/>
    <w:rsid w:val="00166F4C"/>
    <w:rsid w:val="001A3A88"/>
    <w:rsid w:val="001B359A"/>
    <w:rsid w:val="001D4D46"/>
    <w:rsid w:val="001E63F3"/>
    <w:rsid w:val="001E7718"/>
    <w:rsid w:val="00206AF4"/>
    <w:rsid w:val="00221C3B"/>
    <w:rsid w:val="002227A8"/>
    <w:rsid w:val="00232F2E"/>
    <w:rsid w:val="00234060"/>
    <w:rsid w:val="00234877"/>
    <w:rsid w:val="00235BE2"/>
    <w:rsid w:val="00254750"/>
    <w:rsid w:val="00256FFF"/>
    <w:rsid w:val="002722BA"/>
    <w:rsid w:val="00277492"/>
    <w:rsid w:val="002A50D3"/>
    <w:rsid w:val="002B1152"/>
    <w:rsid w:val="002B7105"/>
    <w:rsid w:val="002C39C0"/>
    <w:rsid w:val="002D7142"/>
    <w:rsid w:val="002E78B7"/>
    <w:rsid w:val="002F486E"/>
    <w:rsid w:val="00302950"/>
    <w:rsid w:val="003372FF"/>
    <w:rsid w:val="00342449"/>
    <w:rsid w:val="00342BA7"/>
    <w:rsid w:val="00355607"/>
    <w:rsid w:val="003756DE"/>
    <w:rsid w:val="003812F4"/>
    <w:rsid w:val="003A0D75"/>
    <w:rsid w:val="003A5443"/>
    <w:rsid w:val="003B046F"/>
    <w:rsid w:val="003C061A"/>
    <w:rsid w:val="003C171A"/>
    <w:rsid w:val="003C64C6"/>
    <w:rsid w:val="003C6A01"/>
    <w:rsid w:val="003E0839"/>
    <w:rsid w:val="00404988"/>
    <w:rsid w:val="004056D6"/>
    <w:rsid w:val="00415049"/>
    <w:rsid w:val="004268C9"/>
    <w:rsid w:val="00436E30"/>
    <w:rsid w:val="00460E77"/>
    <w:rsid w:val="004749CC"/>
    <w:rsid w:val="00484371"/>
    <w:rsid w:val="00490218"/>
    <w:rsid w:val="004A4469"/>
    <w:rsid w:val="004B5260"/>
    <w:rsid w:val="004B58C5"/>
    <w:rsid w:val="004E0016"/>
    <w:rsid w:val="004E0B65"/>
    <w:rsid w:val="004E595B"/>
    <w:rsid w:val="004F2A0B"/>
    <w:rsid w:val="00506D31"/>
    <w:rsid w:val="0051274A"/>
    <w:rsid w:val="0051492E"/>
    <w:rsid w:val="00522D58"/>
    <w:rsid w:val="00537973"/>
    <w:rsid w:val="0054456D"/>
    <w:rsid w:val="005458EA"/>
    <w:rsid w:val="0055002D"/>
    <w:rsid w:val="00554220"/>
    <w:rsid w:val="005724F0"/>
    <w:rsid w:val="005746B4"/>
    <w:rsid w:val="00584A62"/>
    <w:rsid w:val="0059757C"/>
    <w:rsid w:val="005A45F2"/>
    <w:rsid w:val="005A4AEA"/>
    <w:rsid w:val="005B0CB2"/>
    <w:rsid w:val="005C4957"/>
    <w:rsid w:val="005D2FBC"/>
    <w:rsid w:val="005D477B"/>
    <w:rsid w:val="005E0ABD"/>
    <w:rsid w:val="005E2EA0"/>
    <w:rsid w:val="005E385C"/>
    <w:rsid w:val="00611B5B"/>
    <w:rsid w:val="006137AF"/>
    <w:rsid w:val="006177AE"/>
    <w:rsid w:val="0063046A"/>
    <w:rsid w:val="00634079"/>
    <w:rsid w:val="00640E28"/>
    <w:rsid w:val="006420E3"/>
    <w:rsid w:val="0064645C"/>
    <w:rsid w:val="006464F2"/>
    <w:rsid w:val="006605FF"/>
    <w:rsid w:val="006B35EC"/>
    <w:rsid w:val="006E7A13"/>
    <w:rsid w:val="00754970"/>
    <w:rsid w:val="00755256"/>
    <w:rsid w:val="00762BBC"/>
    <w:rsid w:val="00783B6E"/>
    <w:rsid w:val="0079108C"/>
    <w:rsid w:val="007A2910"/>
    <w:rsid w:val="007B7295"/>
    <w:rsid w:val="007C65B1"/>
    <w:rsid w:val="008241C2"/>
    <w:rsid w:val="00840501"/>
    <w:rsid w:val="008478D4"/>
    <w:rsid w:val="008536C6"/>
    <w:rsid w:val="00854CC3"/>
    <w:rsid w:val="00865764"/>
    <w:rsid w:val="00881D93"/>
    <w:rsid w:val="008865D2"/>
    <w:rsid w:val="00894C21"/>
    <w:rsid w:val="00894F9E"/>
    <w:rsid w:val="008A2A0D"/>
    <w:rsid w:val="008C3924"/>
    <w:rsid w:val="008E6C3D"/>
    <w:rsid w:val="008F3D07"/>
    <w:rsid w:val="008F627F"/>
    <w:rsid w:val="00907954"/>
    <w:rsid w:val="00915934"/>
    <w:rsid w:val="009437D1"/>
    <w:rsid w:val="00944688"/>
    <w:rsid w:val="00950E60"/>
    <w:rsid w:val="0095109B"/>
    <w:rsid w:val="00960428"/>
    <w:rsid w:val="0097434C"/>
    <w:rsid w:val="00977E23"/>
    <w:rsid w:val="009857FA"/>
    <w:rsid w:val="00996EE6"/>
    <w:rsid w:val="00997225"/>
    <w:rsid w:val="00997363"/>
    <w:rsid w:val="009B04B0"/>
    <w:rsid w:val="009B155A"/>
    <w:rsid w:val="009C5DEA"/>
    <w:rsid w:val="009C7F60"/>
    <w:rsid w:val="009E02B1"/>
    <w:rsid w:val="009E27B9"/>
    <w:rsid w:val="009E5643"/>
    <w:rsid w:val="00A04AC2"/>
    <w:rsid w:val="00A22773"/>
    <w:rsid w:val="00A26DF6"/>
    <w:rsid w:val="00A611E5"/>
    <w:rsid w:val="00A63B08"/>
    <w:rsid w:val="00A761ED"/>
    <w:rsid w:val="00A904B0"/>
    <w:rsid w:val="00A92EB0"/>
    <w:rsid w:val="00AB7E92"/>
    <w:rsid w:val="00AE3B6F"/>
    <w:rsid w:val="00AE4591"/>
    <w:rsid w:val="00B11F0F"/>
    <w:rsid w:val="00B54CC8"/>
    <w:rsid w:val="00B633BE"/>
    <w:rsid w:val="00B750AE"/>
    <w:rsid w:val="00B82387"/>
    <w:rsid w:val="00B87F94"/>
    <w:rsid w:val="00BA5815"/>
    <w:rsid w:val="00BA670B"/>
    <w:rsid w:val="00BB1AC5"/>
    <w:rsid w:val="00BC1EA1"/>
    <w:rsid w:val="00BC6D3E"/>
    <w:rsid w:val="00BD31DF"/>
    <w:rsid w:val="00BF4556"/>
    <w:rsid w:val="00BF52DB"/>
    <w:rsid w:val="00BF726F"/>
    <w:rsid w:val="00C04C6B"/>
    <w:rsid w:val="00C11618"/>
    <w:rsid w:val="00C412F7"/>
    <w:rsid w:val="00C66F9D"/>
    <w:rsid w:val="00C96BC1"/>
    <w:rsid w:val="00CB3394"/>
    <w:rsid w:val="00CE46CE"/>
    <w:rsid w:val="00CE5A31"/>
    <w:rsid w:val="00CF2A69"/>
    <w:rsid w:val="00CF2BDE"/>
    <w:rsid w:val="00D00E1A"/>
    <w:rsid w:val="00D27141"/>
    <w:rsid w:val="00D44365"/>
    <w:rsid w:val="00D446B1"/>
    <w:rsid w:val="00D52923"/>
    <w:rsid w:val="00D602DD"/>
    <w:rsid w:val="00D61B31"/>
    <w:rsid w:val="00DA569E"/>
    <w:rsid w:val="00DA6C69"/>
    <w:rsid w:val="00DB0DB5"/>
    <w:rsid w:val="00DC0350"/>
    <w:rsid w:val="00DF77D1"/>
    <w:rsid w:val="00E06814"/>
    <w:rsid w:val="00E07AFA"/>
    <w:rsid w:val="00E1184B"/>
    <w:rsid w:val="00E27A6E"/>
    <w:rsid w:val="00E35F59"/>
    <w:rsid w:val="00E45088"/>
    <w:rsid w:val="00E60F16"/>
    <w:rsid w:val="00E7558D"/>
    <w:rsid w:val="00E86271"/>
    <w:rsid w:val="00E93E6B"/>
    <w:rsid w:val="00EB608D"/>
    <w:rsid w:val="00ED597B"/>
    <w:rsid w:val="00EE0459"/>
    <w:rsid w:val="00EF5E3B"/>
    <w:rsid w:val="00F11795"/>
    <w:rsid w:val="00F25160"/>
    <w:rsid w:val="00F335BF"/>
    <w:rsid w:val="00F35812"/>
    <w:rsid w:val="00F377E3"/>
    <w:rsid w:val="00F67574"/>
    <w:rsid w:val="00F67878"/>
    <w:rsid w:val="00F71ED0"/>
    <w:rsid w:val="00FA1021"/>
    <w:rsid w:val="00FA7E7A"/>
    <w:rsid w:val="00FC3B36"/>
    <w:rsid w:val="00FC57EC"/>
    <w:rsid w:val="08D92CA2"/>
    <w:rsid w:val="0A145ED8"/>
    <w:rsid w:val="0E572FD9"/>
    <w:rsid w:val="13FD3CDB"/>
    <w:rsid w:val="25007ACF"/>
    <w:rsid w:val="39FC21BB"/>
    <w:rsid w:val="4CC306FE"/>
    <w:rsid w:val="54BC281B"/>
    <w:rsid w:val="5895585D"/>
    <w:rsid w:val="615A7643"/>
    <w:rsid w:val="63030206"/>
    <w:rsid w:val="6D9D5488"/>
    <w:rsid w:val="7B166879"/>
    <w:rsid w:val="FA5DF7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3"/>
    <w:qFormat/>
    <w:uiPriority w:val="9"/>
    <w:pPr>
      <w:keepNext/>
      <w:keepLines/>
      <w:spacing w:before="480" w:after="80" w:line="278" w:lineRule="auto"/>
      <w:jc w:val="left"/>
      <w:outlineLvl w:val="0"/>
    </w:pPr>
    <w:rPr>
      <w:rFonts w:asciiTheme="majorHAnsi" w:hAnsiTheme="majorHAnsi" w:eastAsiaTheme="majorEastAsia" w:cstheme="majorBidi"/>
      <w:color w:val="104862" w:themeColor="accent1" w:themeShade="BF"/>
      <w:sz w:val="48"/>
      <w:szCs w:val="48"/>
      <w14:ligatures w14:val="standardContextual"/>
    </w:rPr>
  </w:style>
  <w:style w:type="paragraph" w:styleId="3">
    <w:name w:val="heading 2"/>
    <w:basedOn w:val="1"/>
    <w:next w:val="1"/>
    <w:link w:val="24"/>
    <w:semiHidden/>
    <w:unhideWhenUsed/>
    <w:qFormat/>
    <w:uiPriority w:val="9"/>
    <w:pPr>
      <w:keepNext/>
      <w:keepLines/>
      <w:spacing w:before="160" w:after="80" w:line="278" w:lineRule="auto"/>
      <w:jc w:val="left"/>
      <w:outlineLvl w:val="1"/>
    </w:pPr>
    <w:rPr>
      <w:rFonts w:asciiTheme="majorHAnsi" w:hAnsiTheme="majorHAnsi" w:eastAsiaTheme="majorEastAsia" w:cstheme="majorBidi"/>
      <w:color w:val="104862" w:themeColor="accent1" w:themeShade="BF"/>
      <w:sz w:val="40"/>
      <w:szCs w:val="40"/>
      <w14:ligatures w14:val="standardContextual"/>
    </w:rPr>
  </w:style>
  <w:style w:type="paragraph" w:styleId="4">
    <w:name w:val="heading 3"/>
    <w:basedOn w:val="1"/>
    <w:next w:val="1"/>
    <w:link w:val="25"/>
    <w:semiHidden/>
    <w:unhideWhenUsed/>
    <w:qFormat/>
    <w:uiPriority w:val="9"/>
    <w:pPr>
      <w:keepNext/>
      <w:keepLines/>
      <w:spacing w:before="160" w:after="80" w:line="278" w:lineRule="auto"/>
      <w:jc w:val="left"/>
      <w:outlineLvl w:val="2"/>
    </w:pPr>
    <w:rPr>
      <w:rFonts w:asciiTheme="majorHAnsi" w:hAnsiTheme="majorHAnsi" w:eastAsiaTheme="majorEastAsia" w:cstheme="majorBidi"/>
      <w:color w:val="104862" w:themeColor="accent1" w:themeShade="BF"/>
      <w:sz w:val="32"/>
      <w:szCs w:val="32"/>
      <w14:ligatures w14:val="standardContextual"/>
    </w:rPr>
  </w:style>
  <w:style w:type="paragraph" w:styleId="5">
    <w:name w:val="heading 4"/>
    <w:basedOn w:val="1"/>
    <w:next w:val="1"/>
    <w:link w:val="26"/>
    <w:semiHidden/>
    <w:unhideWhenUsed/>
    <w:qFormat/>
    <w:uiPriority w:val="9"/>
    <w:pPr>
      <w:keepNext/>
      <w:keepLines/>
      <w:spacing w:before="80" w:after="40" w:line="278" w:lineRule="auto"/>
      <w:jc w:val="left"/>
      <w:outlineLvl w:val="3"/>
    </w:pPr>
    <w:rPr>
      <w:rFonts w:asciiTheme="minorHAnsi" w:hAnsiTheme="minorHAnsi" w:eastAsiaTheme="minorEastAsia" w:cstheme="majorBidi"/>
      <w:color w:val="104862" w:themeColor="accent1" w:themeShade="BF"/>
      <w:sz w:val="28"/>
      <w:szCs w:val="28"/>
      <w14:ligatures w14:val="standardContextual"/>
    </w:rPr>
  </w:style>
  <w:style w:type="paragraph" w:styleId="6">
    <w:name w:val="heading 5"/>
    <w:basedOn w:val="1"/>
    <w:next w:val="1"/>
    <w:link w:val="27"/>
    <w:semiHidden/>
    <w:unhideWhenUsed/>
    <w:qFormat/>
    <w:uiPriority w:val="9"/>
    <w:pPr>
      <w:keepNext/>
      <w:keepLines/>
      <w:spacing w:before="80" w:after="40" w:line="278" w:lineRule="auto"/>
      <w:jc w:val="left"/>
      <w:outlineLvl w:val="4"/>
    </w:pPr>
    <w:rPr>
      <w:rFonts w:asciiTheme="minorHAnsi" w:hAnsiTheme="minorHAnsi" w:eastAsiaTheme="minorEastAsia" w:cstheme="majorBidi"/>
      <w:color w:val="104862" w:themeColor="accent1" w:themeShade="BF"/>
      <w:sz w:val="24"/>
      <w:szCs w:val="24"/>
      <w14:ligatures w14:val="standardContextual"/>
    </w:rPr>
  </w:style>
  <w:style w:type="paragraph" w:styleId="7">
    <w:name w:val="heading 6"/>
    <w:basedOn w:val="1"/>
    <w:next w:val="1"/>
    <w:link w:val="28"/>
    <w:semiHidden/>
    <w:unhideWhenUsed/>
    <w:qFormat/>
    <w:uiPriority w:val="9"/>
    <w:pPr>
      <w:keepNext/>
      <w:keepLines/>
      <w:spacing w:before="40" w:line="278" w:lineRule="auto"/>
      <w:jc w:val="left"/>
      <w:outlineLvl w:val="5"/>
    </w:pPr>
    <w:rPr>
      <w:rFonts w:asciiTheme="minorHAnsi" w:hAnsiTheme="minorHAnsi" w:eastAsiaTheme="minorEastAsia" w:cstheme="majorBidi"/>
      <w:b/>
      <w:bCs/>
      <w:color w:val="104862" w:themeColor="accent1" w:themeShade="BF"/>
      <w:sz w:val="22"/>
      <w:szCs w:val="24"/>
      <w14:ligatures w14:val="standardContextual"/>
    </w:rPr>
  </w:style>
  <w:style w:type="paragraph" w:styleId="8">
    <w:name w:val="heading 7"/>
    <w:basedOn w:val="1"/>
    <w:next w:val="1"/>
    <w:link w:val="29"/>
    <w:semiHidden/>
    <w:unhideWhenUsed/>
    <w:qFormat/>
    <w:uiPriority w:val="9"/>
    <w:pPr>
      <w:keepNext/>
      <w:keepLines/>
      <w:spacing w:before="40" w:line="278" w:lineRule="auto"/>
      <w:jc w:val="left"/>
      <w:outlineLvl w:val="6"/>
    </w:pPr>
    <w:rPr>
      <w:rFonts w:asciiTheme="minorHAnsi" w:hAnsiTheme="minorHAnsi" w:eastAsiaTheme="minorEastAsia" w:cstheme="majorBidi"/>
      <w:b/>
      <w:bCs/>
      <w:color w:val="595959" w:themeColor="text1" w:themeTint="A6"/>
      <w:sz w:val="22"/>
      <w:szCs w:val="24"/>
      <w14:textFill>
        <w14:solidFill>
          <w14:schemeClr w14:val="tx1">
            <w14:lumMod w14:val="65000"/>
            <w14:lumOff w14:val="35000"/>
          </w14:schemeClr>
        </w14:solidFill>
      </w14:textFill>
      <w14:ligatures w14:val="standardContextual"/>
    </w:rPr>
  </w:style>
  <w:style w:type="paragraph" w:styleId="9">
    <w:name w:val="heading 8"/>
    <w:basedOn w:val="1"/>
    <w:next w:val="1"/>
    <w:link w:val="30"/>
    <w:semiHidden/>
    <w:unhideWhenUsed/>
    <w:qFormat/>
    <w:uiPriority w:val="9"/>
    <w:pPr>
      <w:keepNext/>
      <w:keepLines/>
      <w:spacing w:line="278" w:lineRule="auto"/>
      <w:jc w:val="left"/>
      <w:outlineLvl w:val="7"/>
    </w:pPr>
    <w:rPr>
      <w:rFonts w:asciiTheme="minorHAnsi" w:hAnsiTheme="minorHAnsi" w:eastAsiaTheme="minorEastAsia" w:cstheme="majorBidi"/>
      <w:color w:val="595959" w:themeColor="text1" w:themeTint="A6"/>
      <w:sz w:val="22"/>
      <w:szCs w:val="24"/>
      <w14:textFill>
        <w14:solidFill>
          <w14:schemeClr w14:val="tx1">
            <w14:lumMod w14:val="65000"/>
            <w14:lumOff w14:val="35000"/>
          </w14:schemeClr>
        </w14:solidFill>
      </w14:textFill>
      <w14:ligatures w14:val="standardContextual"/>
    </w:rPr>
  </w:style>
  <w:style w:type="paragraph" w:styleId="10">
    <w:name w:val="heading 9"/>
    <w:basedOn w:val="1"/>
    <w:next w:val="1"/>
    <w:link w:val="31"/>
    <w:semiHidden/>
    <w:unhideWhenUsed/>
    <w:qFormat/>
    <w:uiPriority w:val="9"/>
    <w:pPr>
      <w:keepNext/>
      <w:keepLines/>
      <w:spacing w:line="278" w:lineRule="auto"/>
      <w:jc w:val="left"/>
      <w:outlineLvl w:val="8"/>
    </w:pPr>
    <w:rPr>
      <w:rFonts w:asciiTheme="minorHAnsi" w:hAnsiTheme="minorHAnsi" w:eastAsiaTheme="majorEastAsia" w:cstheme="majorBidi"/>
      <w:color w:val="595959" w:themeColor="text1" w:themeTint="A6"/>
      <w:sz w:val="22"/>
      <w:szCs w:val="24"/>
      <w14:textFill>
        <w14:solidFill>
          <w14:schemeClr w14:val="tx1">
            <w14:lumMod w14:val="65000"/>
            <w14:lumOff w14:val="35000"/>
          </w14:schemeClr>
        </w14:solidFill>
      </w14:textFill>
      <w14:ligatures w14:val="standardContextual"/>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unhideWhenUsed/>
    <w:qFormat/>
    <w:uiPriority w:val="35"/>
    <w:rPr>
      <w:rFonts w:eastAsia="黑体" w:asciiTheme="majorHAnsi" w:hAnsiTheme="majorHAnsi" w:cstheme="majorBidi"/>
      <w:sz w:val="20"/>
      <w:szCs w:val="20"/>
    </w:rPr>
  </w:style>
  <w:style w:type="paragraph" w:styleId="12">
    <w:name w:val="footer"/>
    <w:basedOn w:val="1"/>
    <w:link w:val="58"/>
    <w:unhideWhenUsed/>
    <w:qFormat/>
    <w:uiPriority w:val="99"/>
    <w:pPr>
      <w:tabs>
        <w:tab w:val="center" w:pos="4153"/>
        <w:tab w:val="right" w:pos="8306"/>
      </w:tabs>
      <w:snapToGrid w:val="0"/>
      <w:jc w:val="left"/>
    </w:pPr>
    <w:rPr>
      <w:sz w:val="18"/>
      <w:szCs w:val="18"/>
    </w:rPr>
  </w:style>
  <w:style w:type="paragraph" w:styleId="13">
    <w:name w:val="header"/>
    <w:basedOn w:val="1"/>
    <w:link w:val="57"/>
    <w:unhideWhenUsed/>
    <w:qFormat/>
    <w:uiPriority w:val="99"/>
    <w:pP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Subtitle"/>
    <w:basedOn w:val="1"/>
    <w:next w:val="1"/>
    <w:link w:val="33"/>
    <w:qFormat/>
    <w:uiPriority w:val="11"/>
    <w:pPr>
      <w:spacing w:after="160" w:line="278" w:lineRule="auto"/>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14:ligatures w14:val="standardContextual"/>
    </w:rPr>
  </w:style>
  <w:style w:type="paragraph" w:styleId="16">
    <w:name w:val="toc 2"/>
    <w:basedOn w:val="1"/>
    <w:next w:val="1"/>
    <w:unhideWhenUsed/>
    <w:qFormat/>
    <w:uiPriority w:val="39"/>
    <w:pPr>
      <w:ind w:left="420" w:leftChars="200"/>
    </w:pPr>
  </w:style>
  <w:style w:type="paragraph" w:styleId="17">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18">
    <w:name w:val="Title"/>
    <w:basedOn w:val="1"/>
    <w:next w:val="1"/>
    <w:link w:val="32"/>
    <w:qFormat/>
    <w:uiPriority w:val="10"/>
    <w:pPr>
      <w:spacing w:after="80"/>
      <w:contextualSpacing/>
      <w:jc w:val="center"/>
    </w:pPr>
    <w:rPr>
      <w:rFonts w:asciiTheme="majorHAnsi" w:hAnsiTheme="majorHAnsi" w:eastAsiaTheme="majorEastAsia" w:cstheme="majorBidi"/>
      <w:spacing w:val="-10"/>
      <w:kern w:val="28"/>
      <w:sz w:val="56"/>
      <w:szCs w:val="56"/>
      <w14:ligatures w14:val="standardContextual"/>
    </w:r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basedOn w:val="21"/>
    <w:unhideWhenUsed/>
    <w:qFormat/>
    <w:uiPriority w:val="99"/>
    <w:rPr>
      <w:color w:val="467886" w:themeColor="hyperlink"/>
      <w:u w:val="single"/>
      <w14:textFill>
        <w14:solidFill>
          <w14:schemeClr w14:val="hlink"/>
        </w14:solidFill>
      </w14:textFill>
    </w:rPr>
  </w:style>
  <w:style w:type="character" w:customStyle="1" w:styleId="23">
    <w:name w:val="标题 1 字符"/>
    <w:basedOn w:val="21"/>
    <w:link w:val="2"/>
    <w:qFormat/>
    <w:uiPriority w:val="9"/>
    <w:rPr>
      <w:rFonts w:asciiTheme="majorHAnsi" w:hAnsiTheme="majorHAnsi" w:eastAsiaTheme="majorEastAsia" w:cstheme="majorBidi"/>
      <w:color w:val="104862" w:themeColor="accent1" w:themeShade="BF"/>
      <w:sz w:val="48"/>
      <w:szCs w:val="48"/>
    </w:rPr>
  </w:style>
  <w:style w:type="character" w:customStyle="1" w:styleId="24">
    <w:name w:val="标题 2 字符"/>
    <w:basedOn w:val="21"/>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25">
    <w:name w:val="标题 3 字符"/>
    <w:basedOn w:val="21"/>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26">
    <w:name w:val="标题 4 字符"/>
    <w:basedOn w:val="21"/>
    <w:link w:val="5"/>
    <w:semiHidden/>
    <w:qFormat/>
    <w:uiPriority w:val="9"/>
    <w:rPr>
      <w:rFonts w:cstheme="majorBidi"/>
      <w:color w:val="104862" w:themeColor="accent1" w:themeShade="BF"/>
      <w:sz w:val="28"/>
      <w:szCs w:val="28"/>
    </w:rPr>
  </w:style>
  <w:style w:type="character" w:customStyle="1" w:styleId="27">
    <w:name w:val="标题 5 字符"/>
    <w:basedOn w:val="21"/>
    <w:link w:val="6"/>
    <w:semiHidden/>
    <w:qFormat/>
    <w:uiPriority w:val="9"/>
    <w:rPr>
      <w:rFonts w:cstheme="majorBidi"/>
      <w:color w:val="104862" w:themeColor="accent1" w:themeShade="BF"/>
      <w:sz w:val="24"/>
    </w:rPr>
  </w:style>
  <w:style w:type="character" w:customStyle="1" w:styleId="28">
    <w:name w:val="标题 6 字符"/>
    <w:basedOn w:val="21"/>
    <w:link w:val="7"/>
    <w:semiHidden/>
    <w:qFormat/>
    <w:uiPriority w:val="9"/>
    <w:rPr>
      <w:rFonts w:cstheme="majorBidi"/>
      <w:b/>
      <w:bCs/>
      <w:color w:val="104862" w:themeColor="accent1" w:themeShade="BF"/>
    </w:rPr>
  </w:style>
  <w:style w:type="character" w:customStyle="1" w:styleId="29">
    <w:name w:val="标题 7 字符"/>
    <w:basedOn w:val="21"/>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30">
    <w:name w:val="标题 8 字符"/>
    <w:basedOn w:val="21"/>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31">
    <w:name w:val="标题 9 字符"/>
    <w:basedOn w:val="21"/>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2">
    <w:name w:val="标题 字符"/>
    <w:basedOn w:val="21"/>
    <w:link w:val="18"/>
    <w:qFormat/>
    <w:uiPriority w:val="10"/>
    <w:rPr>
      <w:rFonts w:asciiTheme="majorHAnsi" w:hAnsiTheme="majorHAnsi" w:eastAsiaTheme="majorEastAsia" w:cstheme="majorBidi"/>
      <w:spacing w:val="-10"/>
      <w:kern w:val="28"/>
      <w:sz w:val="56"/>
      <w:szCs w:val="56"/>
    </w:rPr>
  </w:style>
  <w:style w:type="character" w:customStyle="1" w:styleId="33">
    <w:name w:val="副标题 字符"/>
    <w:basedOn w:val="21"/>
    <w:link w:val="15"/>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4">
    <w:name w:val="Quote"/>
    <w:basedOn w:val="1"/>
    <w:next w:val="1"/>
    <w:link w:val="35"/>
    <w:qFormat/>
    <w:uiPriority w:val="29"/>
    <w:pPr>
      <w:spacing w:before="160" w:after="160" w:line="278" w:lineRule="auto"/>
      <w:jc w:val="center"/>
    </w:pPr>
    <w:rPr>
      <w:rFonts w:asciiTheme="minorHAnsi" w:hAnsiTheme="minorHAnsi" w:eastAsiaTheme="minorEastAsia" w:cstheme="minorBidi"/>
      <w:i/>
      <w:iCs/>
      <w:color w:val="404040" w:themeColor="text1" w:themeTint="BF"/>
      <w:sz w:val="22"/>
      <w:szCs w:val="24"/>
      <w14:textFill>
        <w14:solidFill>
          <w14:schemeClr w14:val="tx1">
            <w14:lumMod w14:val="75000"/>
            <w14:lumOff w14:val="25000"/>
          </w14:schemeClr>
        </w14:solidFill>
      </w14:textFill>
      <w14:ligatures w14:val="standardContextual"/>
    </w:rPr>
  </w:style>
  <w:style w:type="character" w:customStyle="1" w:styleId="35">
    <w:name w:val="引用 字符"/>
    <w:basedOn w:val="21"/>
    <w:link w:val="34"/>
    <w:qFormat/>
    <w:uiPriority w:val="29"/>
    <w:rPr>
      <w:i/>
      <w:iCs/>
      <w:color w:val="404040" w:themeColor="text1" w:themeTint="BF"/>
      <w14:textFill>
        <w14:solidFill>
          <w14:schemeClr w14:val="tx1">
            <w14:lumMod w14:val="75000"/>
            <w14:lumOff w14:val="25000"/>
          </w14:schemeClr>
        </w14:solidFill>
      </w14:textFill>
    </w:rPr>
  </w:style>
  <w:style w:type="paragraph" w:styleId="36">
    <w:name w:val="List Paragraph"/>
    <w:basedOn w:val="1"/>
    <w:qFormat/>
    <w:uiPriority w:val="34"/>
    <w:pPr>
      <w:spacing w:after="160" w:line="278" w:lineRule="auto"/>
      <w:ind w:left="720"/>
      <w:contextualSpacing/>
      <w:jc w:val="left"/>
    </w:pPr>
    <w:rPr>
      <w:rFonts w:asciiTheme="minorHAnsi" w:hAnsiTheme="minorHAnsi" w:eastAsiaTheme="minorEastAsia" w:cstheme="minorBidi"/>
      <w:sz w:val="22"/>
      <w:szCs w:val="24"/>
      <w14:ligatures w14:val="standardContextual"/>
    </w:rPr>
  </w:style>
  <w:style w:type="character" w:customStyle="1" w:styleId="37">
    <w:name w:val="明显强调1"/>
    <w:basedOn w:val="21"/>
    <w:qFormat/>
    <w:uiPriority w:val="21"/>
    <w:rPr>
      <w:i/>
      <w:iCs/>
      <w:color w:val="104862" w:themeColor="accent1" w:themeShade="BF"/>
    </w:rPr>
  </w:style>
  <w:style w:type="paragraph" w:styleId="38">
    <w:name w:val="Intense Quote"/>
    <w:basedOn w:val="1"/>
    <w:next w:val="1"/>
    <w:link w:val="39"/>
    <w:qFormat/>
    <w:uiPriority w:val="30"/>
    <w:pPr>
      <w:pBdr>
        <w:top w:val="single" w:color="0F4761" w:themeColor="accent1" w:themeShade="BF" w:sz="4" w:space="10"/>
        <w:bottom w:val="single" w:color="0F4761" w:themeColor="accent1" w:themeShade="BF" w:sz="4" w:space="10"/>
      </w:pBdr>
      <w:spacing w:before="360" w:after="360" w:line="278" w:lineRule="auto"/>
      <w:ind w:left="864" w:right="864"/>
      <w:jc w:val="center"/>
    </w:pPr>
    <w:rPr>
      <w:rFonts w:asciiTheme="minorHAnsi" w:hAnsiTheme="minorHAnsi" w:eastAsiaTheme="minorEastAsia" w:cstheme="minorBidi"/>
      <w:i/>
      <w:iCs/>
      <w:color w:val="104862" w:themeColor="accent1" w:themeShade="BF"/>
      <w:sz w:val="22"/>
      <w:szCs w:val="24"/>
      <w14:ligatures w14:val="standardContextual"/>
    </w:rPr>
  </w:style>
  <w:style w:type="character" w:customStyle="1" w:styleId="39">
    <w:name w:val="明显引用 字符"/>
    <w:basedOn w:val="21"/>
    <w:link w:val="38"/>
    <w:qFormat/>
    <w:uiPriority w:val="30"/>
    <w:rPr>
      <w:i/>
      <w:iCs/>
      <w:color w:val="104862" w:themeColor="accent1" w:themeShade="BF"/>
    </w:rPr>
  </w:style>
  <w:style w:type="character" w:customStyle="1" w:styleId="40">
    <w:name w:val="明显参考1"/>
    <w:basedOn w:val="21"/>
    <w:qFormat/>
    <w:uiPriority w:val="32"/>
    <w:rPr>
      <w:b/>
      <w:bCs/>
      <w:smallCaps/>
      <w:color w:val="104862" w:themeColor="accent1" w:themeShade="BF"/>
      <w:spacing w:val="5"/>
    </w:rPr>
  </w:style>
  <w:style w:type="paragraph" w:customStyle="1" w:styleId="41">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2">
    <w:name w:val="font0"/>
    <w:basedOn w:val="1"/>
    <w:qFormat/>
    <w:uiPriority w:val="0"/>
    <w:pPr>
      <w:widowControl/>
      <w:spacing w:before="100" w:beforeAutospacing="1" w:after="100" w:afterAutospacing="1"/>
      <w:jc w:val="left"/>
    </w:pPr>
    <w:rPr>
      <w:rFonts w:ascii="宋体" w:hAnsi="宋体" w:cs="宋体"/>
      <w:color w:val="000000"/>
      <w:kern w:val="0"/>
      <w:sz w:val="22"/>
    </w:rPr>
  </w:style>
  <w:style w:type="paragraph" w:customStyle="1" w:styleId="43">
    <w:name w:val="font1"/>
    <w:basedOn w:val="1"/>
    <w:qFormat/>
    <w:uiPriority w:val="0"/>
    <w:pPr>
      <w:widowControl/>
      <w:spacing w:before="100" w:beforeAutospacing="1" w:after="100" w:afterAutospacing="1"/>
      <w:jc w:val="left"/>
    </w:pPr>
    <w:rPr>
      <w:rFonts w:ascii="微软雅黑" w:hAnsi="微软雅黑" w:eastAsia="微软雅黑" w:cs="宋体"/>
      <w:b/>
      <w:bCs/>
      <w:color w:val="000000"/>
      <w:kern w:val="0"/>
      <w:sz w:val="14"/>
      <w:szCs w:val="14"/>
    </w:rPr>
  </w:style>
  <w:style w:type="paragraph" w:customStyle="1" w:styleId="44">
    <w:name w:val="font2"/>
    <w:basedOn w:val="1"/>
    <w:qFormat/>
    <w:uiPriority w:val="0"/>
    <w:pPr>
      <w:widowControl/>
      <w:spacing w:before="100" w:beforeAutospacing="1" w:after="100" w:afterAutospacing="1"/>
      <w:jc w:val="left"/>
    </w:pPr>
    <w:rPr>
      <w:rFonts w:ascii="微软雅黑" w:hAnsi="微软雅黑" w:eastAsia="微软雅黑" w:cs="宋体"/>
      <w:color w:val="000000"/>
      <w:kern w:val="0"/>
      <w:sz w:val="14"/>
      <w:szCs w:val="14"/>
    </w:rPr>
  </w:style>
  <w:style w:type="paragraph" w:customStyle="1" w:styleId="45">
    <w:name w:val="font3"/>
    <w:basedOn w:val="1"/>
    <w:qFormat/>
    <w:uiPriority w:val="0"/>
    <w:pPr>
      <w:widowControl/>
      <w:spacing w:before="100" w:beforeAutospacing="1" w:after="100" w:afterAutospacing="1"/>
      <w:jc w:val="left"/>
    </w:pPr>
    <w:rPr>
      <w:rFonts w:ascii="宋体" w:hAnsi="宋体" w:cs="宋体"/>
      <w:color w:val="000000"/>
      <w:kern w:val="0"/>
      <w:sz w:val="14"/>
      <w:szCs w:val="14"/>
    </w:rPr>
  </w:style>
  <w:style w:type="paragraph" w:customStyle="1" w:styleId="46">
    <w:name w:val="font4"/>
    <w:basedOn w:val="1"/>
    <w:qFormat/>
    <w:uiPriority w:val="0"/>
    <w:pPr>
      <w:widowControl/>
      <w:spacing w:before="100" w:beforeAutospacing="1" w:after="100" w:afterAutospacing="1"/>
      <w:jc w:val="left"/>
    </w:pPr>
    <w:rPr>
      <w:rFonts w:ascii="Times New Roman" w:hAnsi="Times New Roman"/>
      <w:color w:val="000000"/>
      <w:kern w:val="0"/>
      <w:sz w:val="14"/>
      <w:szCs w:val="14"/>
    </w:rPr>
  </w:style>
  <w:style w:type="paragraph" w:customStyle="1" w:styleId="47">
    <w:name w:val="et2"/>
    <w:basedOn w:val="1"/>
    <w:qFormat/>
    <w:uiPriority w:val="0"/>
    <w:pPr>
      <w:widowControl/>
      <w:pBdr>
        <w:top w:val="single" w:color="FFFFFF" w:sz="8" w:space="0"/>
        <w:left w:val="single" w:color="FFFFFF" w:sz="8" w:space="0"/>
        <w:bottom w:val="single" w:color="FFFFFF" w:sz="8" w:space="0"/>
        <w:right w:val="single" w:color="FFFFFF" w:sz="8" w:space="0"/>
      </w:pBdr>
      <w:shd w:val="clear" w:color="auto" w:fill="FFC000"/>
      <w:spacing w:before="100" w:beforeAutospacing="1" w:after="100" w:afterAutospacing="1"/>
      <w:jc w:val="left"/>
    </w:pPr>
    <w:rPr>
      <w:rFonts w:ascii="微软雅黑" w:hAnsi="微软雅黑" w:eastAsia="微软雅黑" w:cs="宋体"/>
      <w:b/>
      <w:bCs/>
      <w:color w:val="000000"/>
      <w:kern w:val="0"/>
      <w:sz w:val="14"/>
      <w:szCs w:val="14"/>
    </w:rPr>
  </w:style>
  <w:style w:type="paragraph" w:customStyle="1" w:styleId="48">
    <w:name w:val="et3"/>
    <w:basedOn w:val="1"/>
    <w:qFormat/>
    <w:uiPriority w:val="0"/>
    <w:pPr>
      <w:widowControl/>
      <w:pBdr>
        <w:top w:val="single" w:color="FFFFFF" w:sz="8" w:space="0"/>
        <w:left w:val="single" w:color="FFFFFF" w:sz="8" w:space="0"/>
        <w:bottom w:val="single" w:color="FFFFFF" w:sz="8" w:space="0"/>
        <w:right w:val="single" w:color="FFFFFF" w:sz="8" w:space="0"/>
      </w:pBdr>
      <w:shd w:val="clear" w:color="auto" w:fill="E9EDF4"/>
      <w:spacing w:before="100" w:beforeAutospacing="1" w:after="100" w:afterAutospacing="1"/>
      <w:jc w:val="left"/>
    </w:pPr>
    <w:rPr>
      <w:rFonts w:ascii="微软雅黑" w:hAnsi="微软雅黑" w:eastAsia="微软雅黑" w:cs="宋体"/>
      <w:color w:val="000000"/>
      <w:kern w:val="0"/>
      <w:sz w:val="14"/>
      <w:szCs w:val="14"/>
    </w:rPr>
  </w:style>
  <w:style w:type="paragraph" w:customStyle="1" w:styleId="49">
    <w:name w:val="et4"/>
    <w:basedOn w:val="1"/>
    <w:qFormat/>
    <w:uiPriority w:val="0"/>
    <w:pPr>
      <w:widowControl/>
      <w:pBdr>
        <w:top w:val="single" w:color="FFFFFF" w:sz="8" w:space="0"/>
        <w:left w:val="single" w:color="FFFFFF" w:sz="8" w:space="0"/>
        <w:bottom w:val="single" w:color="FFFFFF" w:sz="8" w:space="0"/>
        <w:right w:val="single" w:color="FFFFFF" w:sz="8" w:space="0"/>
      </w:pBdr>
      <w:shd w:val="clear" w:color="auto" w:fill="E9EDF4"/>
      <w:spacing w:before="100" w:beforeAutospacing="1" w:after="100" w:afterAutospacing="1"/>
      <w:jc w:val="left"/>
      <w:textAlignment w:val="bottom"/>
    </w:pPr>
    <w:rPr>
      <w:rFonts w:ascii="微软雅黑" w:hAnsi="微软雅黑" w:eastAsia="微软雅黑" w:cs="宋体"/>
      <w:color w:val="000000"/>
      <w:kern w:val="0"/>
      <w:sz w:val="14"/>
      <w:szCs w:val="14"/>
    </w:rPr>
  </w:style>
  <w:style w:type="paragraph" w:customStyle="1" w:styleId="50">
    <w:name w:val="et5"/>
    <w:basedOn w:val="1"/>
    <w:qFormat/>
    <w:uiPriority w:val="0"/>
    <w:pPr>
      <w:widowControl/>
      <w:pBdr>
        <w:top w:val="single" w:color="FFFFFF" w:sz="8" w:space="0"/>
        <w:left w:val="single" w:color="FFFFFF" w:sz="8" w:space="0"/>
        <w:bottom w:val="single" w:color="FFFFFF" w:sz="8" w:space="0"/>
        <w:right w:val="single" w:color="FFFFFF" w:sz="8" w:space="0"/>
      </w:pBdr>
      <w:shd w:val="clear" w:color="auto" w:fill="E9EDF4"/>
      <w:spacing w:before="100" w:beforeAutospacing="1" w:after="100" w:afterAutospacing="1"/>
      <w:jc w:val="left"/>
    </w:pPr>
    <w:rPr>
      <w:rFonts w:ascii="宋体" w:hAnsi="宋体" w:cs="宋体"/>
      <w:color w:val="000000"/>
      <w:kern w:val="0"/>
      <w:sz w:val="14"/>
      <w:szCs w:val="14"/>
    </w:rPr>
  </w:style>
  <w:style w:type="paragraph" w:customStyle="1" w:styleId="51">
    <w:name w:val="et6"/>
    <w:basedOn w:val="1"/>
    <w:qFormat/>
    <w:uiPriority w:val="0"/>
    <w:pPr>
      <w:widowControl/>
      <w:pBdr>
        <w:top w:val="single" w:color="FFFFFF" w:sz="8" w:space="0"/>
        <w:left w:val="single" w:color="FFFFFF" w:sz="8" w:space="0"/>
        <w:bottom w:val="single" w:color="FFFFFF" w:sz="8" w:space="0"/>
        <w:right w:val="single" w:color="FFFFFF" w:sz="8" w:space="0"/>
      </w:pBdr>
      <w:shd w:val="clear" w:color="auto" w:fill="E9EDF4"/>
      <w:spacing w:before="100" w:beforeAutospacing="1" w:after="100" w:afterAutospacing="1"/>
      <w:jc w:val="left"/>
    </w:pPr>
    <w:rPr>
      <w:rFonts w:ascii="Times New Roman" w:hAnsi="Times New Roman"/>
      <w:color w:val="000000"/>
      <w:kern w:val="0"/>
      <w:sz w:val="14"/>
      <w:szCs w:val="14"/>
    </w:rPr>
  </w:style>
  <w:style w:type="character" w:customStyle="1" w:styleId="52">
    <w:name w:val="font41"/>
    <w:basedOn w:val="21"/>
    <w:qFormat/>
    <w:uiPriority w:val="0"/>
    <w:rPr>
      <w:rFonts w:hint="default" w:ascii="Times New Roman" w:hAnsi="Times New Roman" w:cs="Times New Roman"/>
      <w:color w:val="000000"/>
      <w:sz w:val="14"/>
      <w:szCs w:val="14"/>
      <w:u w:val="none"/>
    </w:rPr>
  </w:style>
  <w:style w:type="character" w:customStyle="1" w:styleId="53">
    <w:name w:val="font31"/>
    <w:basedOn w:val="21"/>
    <w:qFormat/>
    <w:uiPriority w:val="0"/>
    <w:rPr>
      <w:rFonts w:hint="eastAsia" w:ascii="宋体" w:hAnsi="宋体" w:eastAsia="宋体"/>
      <w:color w:val="000000"/>
      <w:sz w:val="14"/>
      <w:szCs w:val="14"/>
      <w:u w:val="none"/>
    </w:rPr>
  </w:style>
  <w:style w:type="character" w:customStyle="1" w:styleId="54">
    <w:name w:val="标题2 Char"/>
    <w:link w:val="55"/>
    <w:qFormat/>
    <w:uiPriority w:val="0"/>
    <w:rPr>
      <w:rFonts w:ascii="黑体" w:hAnsi="Cambria" w:eastAsia="黑体"/>
      <w:b/>
      <w:bCs/>
      <w:sz w:val="36"/>
      <w:szCs w:val="32"/>
    </w:rPr>
  </w:style>
  <w:style w:type="paragraph" w:customStyle="1" w:styleId="55">
    <w:name w:val="标题2"/>
    <w:basedOn w:val="18"/>
    <w:link w:val="54"/>
    <w:qFormat/>
    <w:uiPriority w:val="0"/>
    <w:pPr>
      <w:spacing w:before="240" w:after="60"/>
      <w:contextualSpacing w:val="0"/>
      <w:outlineLvl w:val="0"/>
    </w:pPr>
    <w:rPr>
      <w:rFonts w:ascii="黑体" w:hAnsi="Cambria" w:eastAsia="黑体" w:cstheme="minorBidi"/>
      <w:b/>
      <w:bCs/>
      <w:spacing w:val="0"/>
      <w:kern w:val="2"/>
      <w:sz w:val="36"/>
      <w:szCs w:val="32"/>
    </w:rPr>
  </w:style>
  <w:style w:type="paragraph" w:customStyle="1" w:styleId="56">
    <w:name w:val="TOC 标题1"/>
    <w:basedOn w:val="2"/>
    <w:next w:val="1"/>
    <w:unhideWhenUsed/>
    <w:qFormat/>
    <w:uiPriority w:val="39"/>
    <w:pPr>
      <w:widowControl/>
      <w:spacing w:before="240" w:after="0" w:line="259" w:lineRule="auto"/>
      <w:outlineLvl w:val="9"/>
    </w:pPr>
    <w:rPr>
      <w:kern w:val="0"/>
      <w:sz w:val="32"/>
      <w:szCs w:val="32"/>
      <w14:ligatures w14:val="none"/>
    </w:rPr>
  </w:style>
  <w:style w:type="character" w:customStyle="1" w:styleId="57">
    <w:name w:val="页眉 字符"/>
    <w:basedOn w:val="21"/>
    <w:link w:val="13"/>
    <w:qFormat/>
    <w:uiPriority w:val="99"/>
    <w:rPr>
      <w:rFonts w:ascii="Calibri" w:hAnsi="Calibri" w:eastAsia="宋体" w:cs="Times New Roman"/>
      <w:sz w:val="18"/>
      <w:szCs w:val="18"/>
      <w14:ligatures w14:val="none"/>
    </w:rPr>
  </w:style>
  <w:style w:type="character" w:customStyle="1" w:styleId="58">
    <w:name w:val="页脚 字符"/>
    <w:basedOn w:val="21"/>
    <w:link w:val="12"/>
    <w:qFormat/>
    <w:uiPriority w:val="99"/>
    <w:rPr>
      <w:rFonts w:ascii="Calibri" w:hAnsi="Calibri" w:eastAsia="宋体" w:cs="Times New Roman"/>
      <w:sz w:val="18"/>
      <w:szCs w:val="18"/>
      <w14:ligatures w14:val="none"/>
    </w:rPr>
  </w:style>
  <w:style w:type="paragraph" w:customStyle="1" w:styleId="59">
    <w:name w:val="修订1"/>
    <w:hidden/>
    <w:semiHidden/>
    <w:qFormat/>
    <w:uiPriority w:val="99"/>
    <w:rPr>
      <w:rFonts w:ascii="Calibri" w:hAnsi="Calibri" w:eastAsia="宋体" w:cs="Times New Roman"/>
      <w:kern w:val="2"/>
      <w:sz w:val="21"/>
      <w:szCs w:val="22"/>
      <w:lang w:val="en-US" w:eastAsia="zh-CN" w:bidi="ar-SA"/>
    </w:rPr>
  </w:style>
  <w:style w:type="paragraph" w:customStyle="1" w:styleId="60">
    <w:name w:val="Revision"/>
    <w:hidden/>
    <w:unhideWhenUsed/>
    <w:qFormat/>
    <w:uiPriority w:val="99"/>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4" Type="http://schemas.microsoft.com/office/2011/relationships/people" Target="people.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35</Pages>
  <Words>2694</Words>
  <Characters>15358</Characters>
  <Lines>127</Lines>
  <Paragraphs>36</Paragraphs>
  <TotalTime>216</TotalTime>
  <ScaleCrop>false</ScaleCrop>
  <LinksUpToDate>false</LinksUpToDate>
  <CharactersWithSpaces>18016</CharactersWithSpaces>
  <Application>WPS Office_11.8.2.10290_F1E327BC-269C-435d-A152-05C5408002CA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2024-12-02T17:18:00Z</dcterms:created>
  <dc:creator>394328248@qq.com</dc:creator>
  <cp:lastModifiedBy>greatwall</cp:lastModifiedBy>
  <cp:lastPrinted>2024-10-29T10:17:00Z</cp:lastPrinted>
  <dcterms:modified xsi:type="dcterms:W3CDTF">2024-12-03T11:44:47Z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2052-11.8.2.10290</vt:lpwstr>
  </property>
  <property fmtid="{D5CDD505-2E9C-101B-9397-08002B2CF9AE}" pid="3" name="ICV">
    <vt:lpwstr>2A511540BAC645C099B107E79E5C8254_13</vt:lpwstr>
  </property>
</Properties>
</file>